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jc w:val="center"/>
        <w:rPr>
          <w:rFonts w:ascii="Verdana" w:hAnsi="Verdana"/>
          <w:sz w:val="20"/>
          <w:szCs w:val="20"/>
        </w:rPr>
      </w:pPr>
      <w:r>
        <w:rPr>
          <w:rFonts w:cs="Arial" w:ascii="Verdana" w:hAnsi="Verdana"/>
          <w:b/>
          <w:bCs/>
          <w:smallCaps/>
          <w:color w:val="000000"/>
          <w:sz w:val="20"/>
          <w:szCs w:val="20"/>
        </w:rPr>
        <w:t xml:space="preserve"> </w:t>
      </w:r>
    </w:p>
    <w:p>
      <w:pPr>
        <w:pStyle w:val="Normal"/>
        <w:spacing w:lineRule="auto" w:line="240"/>
        <w:jc w:val="center"/>
        <w:rPr>
          <w:rFonts w:ascii="Verdana" w:hAnsi="Verdana"/>
          <w:sz w:val="20"/>
          <w:szCs w:val="20"/>
        </w:rPr>
      </w:pPr>
      <w:r>
        <w:rPr>
          <w:rFonts w:cs="Arial" w:ascii="Verdana" w:hAnsi="Verdana"/>
          <w:b/>
          <w:bCs/>
          <w:smallCaps/>
          <w:color w:val="000000"/>
          <w:sz w:val="20"/>
          <w:szCs w:val="20"/>
        </w:rPr>
        <w:t>PREGÃO ELETRÔNICO Nº 074/2025</w:t>
      </w:r>
    </w:p>
    <w:p>
      <w:pPr>
        <w:pStyle w:val="Normal"/>
        <w:spacing w:lineRule="auto" w:line="240"/>
        <w:jc w:val="center"/>
        <w:rPr>
          <w:rFonts w:ascii="Verdana" w:hAnsi="Verdana"/>
          <w:sz w:val="20"/>
          <w:szCs w:val="20"/>
        </w:rPr>
      </w:pPr>
      <w:r>
        <w:rPr>
          <w:rFonts w:cs="Arial" w:ascii="Verdana" w:hAnsi="Verdana"/>
          <w:b/>
          <w:bCs/>
          <w:smallCaps/>
          <w:color w:val="000000"/>
          <w:sz w:val="20"/>
          <w:szCs w:val="20"/>
        </w:rPr>
        <w:t>(Processo Administrativo n° 007688/2025 de 22/10/2025)</w:t>
      </w:r>
    </w:p>
    <w:p>
      <w:pPr>
        <w:pStyle w:val="Normal"/>
        <w:spacing w:lineRule="auto" w:line="240"/>
        <w:jc w:val="center"/>
        <w:rPr>
          <w:rFonts w:ascii="Verdana" w:hAnsi="Verdana"/>
          <w:sz w:val="20"/>
          <w:szCs w:val="20"/>
        </w:rPr>
      </w:pPr>
      <w:r>
        <w:rPr>
          <w:rFonts w:ascii="Verdana" w:hAnsi="Verdana"/>
          <w:sz w:val="20"/>
          <w:szCs w:val="20"/>
        </w:rPr>
      </w:r>
    </w:p>
    <w:p>
      <w:pPr>
        <w:pStyle w:val="BodyText"/>
        <w:spacing w:lineRule="auto" w:line="240" w:before="57" w:after="57"/>
        <w:jc w:val="both"/>
        <w:rPr>
          <w:rFonts w:ascii="Verdana" w:hAnsi="Verdana"/>
          <w:sz w:val="20"/>
          <w:szCs w:val="20"/>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40" w:before="0" w:after="0"/>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40" w:before="0" w:after="0"/>
        <w:jc w:val="both"/>
        <w:rPr>
          <w:rFonts w:ascii="Verdana" w:hAnsi="Verdana"/>
          <w:sz w:val="20"/>
          <w:szCs w:val="20"/>
        </w:rPr>
      </w:pPr>
      <w:r>
        <w:rPr>
          <w:rFonts w:cs="Arial" w:ascii="Verdana" w:hAnsi="Verdana"/>
          <w:b/>
          <w:bCs/>
          <w:color w:val="000000"/>
          <w:sz w:val="20"/>
          <w:szCs w:val="20"/>
        </w:rPr>
        <w:t xml:space="preserve">Data da sessão: </w:t>
      </w:r>
      <w:r>
        <w:rPr>
          <w:rFonts w:cs="Arial" w:ascii="Verdana" w:hAnsi="Verdana"/>
          <w:b/>
          <w:bCs/>
          <w:color w:val="000000"/>
          <w:sz w:val="20"/>
          <w:szCs w:val="20"/>
        </w:rPr>
        <w:t>18</w:t>
      </w:r>
      <w:r>
        <w:rPr>
          <w:rFonts w:cs="Arial" w:ascii="Verdana" w:hAnsi="Verdana"/>
          <w:b/>
          <w:bCs/>
          <w:color w:val="000000"/>
          <w:sz w:val="20"/>
          <w:szCs w:val="20"/>
        </w:rPr>
        <w:t>/12/2025.</w:t>
      </w:r>
    </w:p>
    <w:p>
      <w:pPr>
        <w:pStyle w:val="Normal"/>
        <w:spacing w:lineRule="auto" w:line="240" w:before="57" w:after="57"/>
        <w:rPr>
          <w:rFonts w:ascii="Verdana" w:hAnsi="Verdana"/>
          <w:sz w:val="20"/>
          <w:szCs w:val="20"/>
        </w:rPr>
      </w:pPr>
      <w:r>
        <w:rPr>
          <w:rFonts w:cs="Arial" w:ascii="Verdana" w:hAnsi="Verdana"/>
          <w:b/>
          <w:bCs/>
          <w:color w:val="000000"/>
          <w:sz w:val="20"/>
          <w:szCs w:val="20"/>
        </w:rPr>
        <w:t>Horário: 13h00min.</w:t>
      </w:r>
    </w:p>
    <w:p>
      <w:pPr>
        <w:pStyle w:val="Normal"/>
        <w:spacing w:lineRule="auto" w:line="240" w:before="57" w:after="57"/>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lineRule="auto" w:line="240" w:before="57" w:after="57"/>
        <w:rPr>
          <w:rFonts w:ascii="Verdana" w:hAnsi="Verdana"/>
          <w:sz w:val="20"/>
          <w:szCs w:val="20"/>
        </w:rPr>
      </w:pPr>
      <w:r>
        <w:rPr>
          <w:rFonts w:cs="Arial" w:ascii="Verdana" w:hAnsi="Verdana"/>
          <w:b/>
          <w:bCs/>
          <w:color w:val="000000"/>
          <w:sz w:val="20"/>
          <w:szCs w:val="20"/>
        </w:rPr>
        <w:t>ID CIDA</w:t>
      </w:r>
      <w:r>
        <w:rPr>
          <w:rFonts w:ascii="Verdana" w:hAnsi="Verdana"/>
          <w:b/>
          <w:bCs/>
          <w:sz w:val="20"/>
          <w:szCs w:val="20"/>
        </w:rPr>
        <w:t xml:space="preserve">DES: </w:t>
      </w:r>
    </w:p>
    <w:p>
      <w:pPr>
        <w:pStyle w:val="Normal"/>
        <w:spacing w:lineRule="auto" w:line="240" w:before="0" w:after="0"/>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rPr>
        <w:t>DO OBJETO</w:t>
      </w:r>
    </w:p>
    <w:p>
      <w:pPr>
        <w:pStyle w:val="ListParagraph"/>
        <w:spacing w:lineRule="auto" w:line="240" w:before="0" w:after="0"/>
        <w:ind w:left="0"/>
        <w:contextualSpacing w:val="false"/>
        <w:jc w:val="both"/>
        <w:rPr>
          <w:rFonts w:ascii="Verdana" w:hAnsi="Verdana"/>
          <w:sz w:val="20"/>
          <w:szCs w:val="20"/>
        </w:rPr>
      </w:pPr>
      <w:r>
        <w:rPr>
          <w:rFonts w:cs="Arial" w:ascii="Verdana" w:hAnsi="Verdana"/>
          <w:color w:val="000000"/>
          <w:sz w:val="20"/>
          <w:szCs w:val="20"/>
        </w:rPr>
        <w:t xml:space="preserve">1.1 </w:t>
      </w:r>
      <w:r>
        <w:rPr>
          <w:rFonts w:cs="Arial" w:ascii="Verdana" w:hAnsi="Verdana"/>
          <w:iCs/>
          <w:color w:themeColor="text1" w:val="000000"/>
          <w:sz w:val="20"/>
          <w:szCs w:val="20"/>
        </w:rPr>
        <w:t xml:space="preserve">O objeto da presente licitação é a </w:t>
      </w:r>
      <w:bookmarkStart w:id="1" w:name="_Hlk162947020"/>
      <w:r>
        <w:rPr>
          <w:rFonts w:cs="Arial" w:ascii="Verdana" w:hAnsi="Verdana"/>
          <w:iCs/>
          <w:color w:themeColor="text1" w:val="000000"/>
          <w:sz w:val="20"/>
          <w:szCs w:val="20"/>
        </w:rPr>
        <w:t xml:space="preserve">Constituição de Ata de Registro de Preços, </w:t>
      </w:r>
      <w:bookmarkEnd w:id="1"/>
      <w:r>
        <w:rPr>
          <w:rFonts w:cs="Arial" w:ascii="Verdana" w:hAnsi="Verdana"/>
          <w:iCs/>
          <w:color w:themeColor="text1" w:val="000000"/>
          <w:sz w:val="20"/>
          <w:szCs w:val="20"/>
        </w:rPr>
        <w:t xml:space="preserve">para futura e eventual Contratação de empresa especializada para a prestação de serviços e fornecimento de soluções tecnológicas destinadas a locação, instalação e manutenção para modernizar e ampliar o serviço de videomonitoramento e telecomunicações do município de São Gabriel da Palha, contemplando equipamentos softwares, serviço de instalação, manutenção e suporte técnico, conforme condições e exigências estabelecidas neste instrumento e no ETP. </w:t>
      </w:r>
    </w:p>
    <w:p>
      <w:pPr>
        <w:pStyle w:val="Normal"/>
        <w:spacing w:lineRule="auto" w:line="240" w:before="57" w:after="57"/>
        <w:jc w:val="both"/>
        <w:rPr>
          <w:rFonts w:ascii="Verdana" w:hAnsi="Verdana"/>
          <w:sz w:val="20"/>
          <w:szCs w:val="20"/>
        </w:rPr>
      </w:pPr>
      <w:r>
        <w:rPr>
          <w:rFonts w:cs="Arial" w:ascii="Verdana" w:hAnsi="Verdana"/>
          <w:iCs/>
          <w:color w:themeColor="text1" w:val="000000"/>
          <w:sz w:val="20"/>
          <w:szCs w:val="20"/>
        </w:rPr>
        <w:t xml:space="preserve">1.2 A licitação será dividida em itens, conforme tabela constante no ANEXO II – Modelo Orientativo de Proposta, com julgamento de menor preço Global. </w:t>
      </w:r>
      <w:r>
        <w:rPr>
          <w:rFonts w:cs="Arial" w:ascii="Verdana" w:hAnsi="Verdana"/>
          <w:b w:val="false"/>
          <w:bCs w:val="false"/>
          <w:iCs/>
          <w:color w:themeColor="text1" w:val="000000"/>
          <w:sz w:val="20"/>
          <w:szCs w:val="20"/>
        </w:rPr>
        <w:t>Para</w:t>
      </w:r>
      <w:r>
        <w:rPr>
          <w:rFonts w:cs="Arial" w:ascii="Verdana" w:hAnsi="Verdana"/>
          <w:b w:val="false"/>
          <w:bCs w:val="false"/>
          <w:iCs/>
          <w:color w:themeColor="text1" w:val="000000"/>
          <w:spacing w:val="-5"/>
          <w:sz w:val="20"/>
          <w:szCs w:val="20"/>
        </w:rPr>
        <w:t xml:space="preserve"> </w:t>
      </w:r>
      <w:r>
        <w:rPr>
          <w:rFonts w:cs="Arial" w:ascii="Verdana" w:hAnsi="Verdana"/>
          <w:b w:val="false"/>
          <w:bCs w:val="false"/>
          <w:iCs/>
          <w:color w:themeColor="text1" w:val="000000"/>
          <w:sz w:val="20"/>
          <w:szCs w:val="20"/>
        </w:rPr>
        <w:t>fins</w:t>
      </w:r>
      <w:r>
        <w:rPr>
          <w:rFonts w:cs="Arial" w:ascii="Verdana" w:hAnsi="Verdana"/>
          <w:b w:val="false"/>
          <w:bCs w:val="false"/>
          <w:iCs/>
          <w:color w:themeColor="text1" w:val="000000"/>
          <w:spacing w:val="-6"/>
          <w:sz w:val="20"/>
          <w:szCs w:val="20"/>
        </w:rPr>
        <w:t xml:space="preserve"> </w:t>
      </w:r>
      <w:r>
        <w:rPr>
          <w:rFonts w:cs="Arial" w:ascii="Verdana" w:hAnsi="Verdana"/>
          <w:b w:val="false"/>
          <w:bCs w:val="false"/>
          <w:iCs/>
          <w:color w:themeColor="text1" w:val="000000"/>
          <w:sz w:val="20"/>
          <w:szCs w:val="20"/>
        </w:rPr>
        <w:t>de</w:t>
      </w:r>
      <w:r>
        <w:rPr>
          <w:rFonts w:cs="Arial" w:ascii="Verdana" w:hAnsi="Verdana"/>
          <w:b w:val="false"/>
          <w:bCs w:val="false"/>
          <w:iCs/>
          <w:color w:themeColor="text1" w:val="000000"/>
          <w:spacing w:val="-6"/>
          <w:sz w:val="20"/>
          <w:szCs w:val="20"/>
        </w:rPr>
        <w:t xml:space="preserve"> </w:t>
      </w:r>
      <w:r>
        <w:rPr>
          <w:rFonts w:cs="Arial" w:ascii="Verdana" w:hAnsi="Verdana"/>
          <w:b w:val="false"/>
          <w:bCs w:val="false"/>
          <w:iCs/>
          <w:color w:themeColor="text1" w:val="000000"/>
          <w:sz w:val="20"/>
          <w:szCs w:val="20"/>
        </w:rPr>
        <w:t xml:space="preserve">classificação, será considerado o menor preço global. Compete à administração buscar o menor dispêndio possível de recursos, assegurando a qualidade da prestação dos serviços, o que exige a escolha da solução mais adequada e eficiente dentre as diversas opções existentes já por ocasião da definição do objeto e das condições da aquisição, posto que seja essa descrição que impulsiona a seleção da proposta mais </w:t>
      </w:r>
      <w:r>
        <w:rPr>
          <w:rFonts w:cs="Arial" w:ascii="Verdana" w:hAnsi="Verdana"/>
          <w:b w:val="false"/>
          <w:bCs w:val="false"/>
          <w:iCs/>
          <w:color w:themeColor="text1" w:val="000000"/>
          <w:spacing w:val="-2"/>
          <w:sz w:val="20"/>
          <w:szCs w:val="20"/>
        </w:rPr>
        <w:t>vantajosa.</w:t>
      </w:r>
    </w:p>
    <w:p>
      <w:pPr>
        <w:pStyle w:val="Normal"/>
        <w:spacing w:lineRule="auto" w:line="240" w:before="0" w:after="0"/>
        <w:jc w:val="both"/>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57" w:right="57"/>
        <w:rPr>
          <w:rFonts w:ascii="Verdana" w:hAnsi="Verdana"/>
          <w:sz w:val="20"/>
          <w:szCs w:val="20"/>
        </w:rPr>
      </w:pPr>
      <w:r>
        <w:rPr>
          <w:rFonts w:cs="Arial" w:ascii="Verdana" w:hAnsi="Verdana"/>
          <w:sz w:val="20"/>
          <w:szCs w:val="20"/>
        </w:rPr>
        <w:t xml:space="preserve">DO REGISTRO DE PREÇOS </w:t>
      </w:r>
    </w:p>
    <w:p>
      <w:pPr>
        <w:pStyle w:val="Normal"/>
        <w:spacing w:lineRule="auto" w:line="240" w:before="0" w:after="0"/>
        <w:ind w:left="57" w:right="57"/>
        <w:jc w:val="both"/>
        <w:rPr>
          <w:rFonts w:ascii="Verdana" w:hAnsi="Verdana"/>
          <w:sz w:val="20"/>
          <w:szCs w:val="20"/>
        </w:rPr>
      </w:pPr>
      <w:r>
        <w:rPr>
          <w:rFonts w:cs="Arial" w:ascii="Verdana" w:hAnsi="Verdana"/>
          <w:color w:val="000000"/>
          <w:sz w:val="20"/>
          <w:szCs w:val="20"/>
        </w:rPr>
        <w:t>2.1 As regras referentes ao órgão gerenciador são as que constam da minuta de Ata de Registro de Preços.</w:t>
      </w:r>
    </w:p>
    <w:p>
      <w:pPr>
        <w:pStyle w:val="Normal"/>
        <w:spacing w:lineRule="auto" w:line="240" w:before="0" w:after="0"/>
        <w:ind w:left="57" w:right="57"/>
        <w:jc w:val="both"/>
        <w:rPr>
          <w:rFonts w:ascii="Verdana" w:hAnsi="Verdana"/>
          <w:sz w:val="20"/>
          <w:szCs w:val="20"/>
        </w:rPr>
      </w:pPr>
      <w:r>
        <w:rPr>
          <w:rFonts w:cs="Arial" w:ascii="Verdana" w:hAnsi="Verdana"/>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pPr>
        <w:pStyle w:val="Normal"/>
        <w:spacing w:lineRule="auto" w:line="240" w:before="0" w:after="0"/>
        <w:ind w:left="57" w:right="57"/>
        <w:jc w:val="both"/>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rPr>
        <w:t>DO CREDENCIAMENTO</w:t>
      </w:r>
    </w:p>
    <w:p>
      <w:pPr>
        <w:pStyle w:val="Default"/>
        <w:spacing w:lineRule="auto" w:line="240" w:before="0" w:after="0"/>
        <w:ind w:right="113"/>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40" w:before="113" w:after="113"/>
        <w:ind w:right="113"/>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40" w:before="113" w:after="113"/>
        <w:ind w:right="113"/>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pPr>
        <w:pStyle w:val="Default"/>
        <w:spacing w:lineRule="auto" w:line="240" w:before="113" w:after="113"/>
        <w:ind w:right="113"/>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spacing w:lineRule="auto" w:line="240" w:before="113" w:after="113"/>
        <w:ind w:right="113"/>
        <w:jc w:val="both"/>
        <w:rPr>
          <w:rFonts w:ascii="Verdana" w:hAnsi="Verdana"/>
          <w:sz w:val="20"/>
          <w:szCs w:val="20"/>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40" w:before="0" w:after="0"/>
        <w:ind w:right="113"/>
        <w:jc w:val="both"/>
        <w:rPr>
          <w:rFonts w:ascii="Verdana" w:hAnsi="Verdana"/>
          <w:sz w:val="20"/>
          <w:szCs w:val="20"/>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Default"/>
        <w:spacing w:lineRule="auto" w:line="240" w:before="0" w:after="0"/>
        <w:ind w:right="113"/>
        <w:jc w:val="both"/>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rPr>
        <w:t>DA PARTICIPAÇÃO NO PREGÃO.</w:t>
      </w:r>
    </w:p>
    <w:p>
      <w:pPr>
        <w:pStyle w:val="Normal"/>
        <w:spacing w:lineRule="auto" w:line="240" w:before="0" w:after="0"/>
        <w:jc w:val="both"/>
        <w:rPr>
          <w:rFonts w:ascii="Verdana" w:hAnsi="Verdana"/>
          <w:sz w:val="20"/>
          <w:szCs w:val="20"/>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lineRule="auto" w:line="240" w:before="57" w:after="57"/>
        <w:jc w:val="both"/>
        <w:rPr>
          <w:rFonts w:ascii="Verdana" w:hAnsi="Verdana"/>
          <w:sz w:val="20"/>
          <w:szCs w:val="20"/>
        </w:rPr>
      </w:pPr>
      <w:r>
        <w:rPr>
          <w:rFonts w:cs="Arial" w:ascii="Verdana" w:hAnsi="Verdana"/>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40" w:before="57" w:after="57"/>
        <w:jc w:val="both"/>
        <w:rPr/>
      </w:pPr>
      <w:r>
        <w:rPr>
          <w:rFonts w:cs="Arial" w:ascii="Verdana" w:hAnsi="Verdana"/>
          <w:iCs/>
          <w:color w:val="000000"/>
          <w:sz w:val="20"/>
          <w:szCs w:val="20"/>
        </w:rPr>
        <w:t xml:space="preserve">4.2.1 </w:t>
      </w:r>
      <w:r>
        <w:rPr>
          <w:rFonts w:cs="Arial" w:ascii="Verdana" w:hAnsi="Verdana"/>
          <w:bCs/>
          <w:iCs/>
          <w:color w:val="000000"/>
          <w:sz w:val="20"/>
          <w:szCs w:val="20"/>
        </w:rPr>
        <w:t>Poderão participar da licitação</w:t>
      </w:r>
      <w:r>
        <w:rPr>
          <w:rFonts w:cs="Arial" w:ascii="Verdana" w:hAnsi="Verdana"/>
          <w:b/>
          <w:bCs/>
          <w:iCs/>
          <w:color w:val="000000"/>
          <w:sz w:val="20"/>
          <w:szCs w:val="20"/>
        </w:rPr>
        <w:t xml:space="preserve"> </w:t>
      </w:r>
      <w:r>
        <w:rPr>
          <w:rFonts w:cs="Arial" w:ascii="Verdana" w:hAnsi="Verdana"/>
          <w:bCs/>
          <w:iCs/>
          <w:color w:val="000000"/>
          <w:sz w:val="20"/>
          <w:szCs w:val="20"/>
        </w:rPr>
        <w:t>as empresas interessadas</w:t>
      </w:r>
      <w:r>
        <w:rPr>
          <w:rFonts w:cs="Arial" w:ascii="Verdana" w:hAnsi="Verdana"/>
          <w:color w:val="000000"/>
          <w:sz w:val="20"/>
          <w:szCs w:val="20"/>
        </w:rPr>
        <w:t>,</w:t>
      </w:r>
      <w:r>
        <w:rPr>
          <w:rFonts w:cs="Arial" w:ascii="Verdana" w:hAnsi="Verdana"/>
          <w:b/>
          <w:bCs/>
          <w:i/>
          <w:color w:val="000000"/>
          <w:sz w:val="20"/>
          <w:szCs w:val="20"/>
        </w:rPr>
        <w:t xml:space="preserve"> </w:t>
      </w:r>
      <w:r>
        <w:rPr>
          <w:rFonts w:cs="Arial" w:ascii="Verdana" w:hAnsi="Verdana"/>
          <w:bCs/>
          <w:iCs/>
          <w:color w:val="000000"/>
          <w:sz w:val="20"/>
          <w:szCs w:val="20"/>
        </w:rPr>
        <w:t xml:space="preserve">pertencentes ao ramo de atividade relacionado ao objeto da licitação e que estiverem previamente credenciadas perante o sistema eletrônico provido pelo Portal de Compras Públicas, por meio do sítio </w:t>
      </w:r>
      <w:hyperlink r:id="rId3">
        <w:r>
          <w:rPr>
            <w:rStyle w:val="Hyperlink"/>
            <w:rFonts w:cs="Arial" w:ascii="Verdana" w:hAnsi="Verdana"/>
            <w:b/>
            <w:bCs/>
            <w:i/>
            <w:iCs/>
            <w:sz w:val="20"/>
            <w:szCs w:val="20"/>
          </w:rPr>
          <w:t>www.portaldecompraspublicas.com.br</w:t>
        </w:r>
      </w:hyperlink>
      <w:r>
        <w:rPr>
          <w:rStyle w:val="InternetLink"/>
          <w:rFonts w:cs="Arial" w:ascii="Verdana" w:hAnsi="Verdana"/>
          <w:b/>
          <w:bCs/>
          <w:iCs/>
          <w:sz w:val="20"/>
          <w:szCs w:val="20"/>
        </w:rPr>
        <w:t>.</w:t>
      </w:r>
    </w:p>
    <w:p>
      <w:pPr>
        <w:pStyle w:val="Normal"/>
        <w:spacing w:lineRule="auto" w:line="240" w:before="57" w:after="57"/>
        <w:jc w:val="both"/>
        <w:rPr/>
      </w:pPr>
      <w:r>
        <w:rPr>
          <w:rStyle w:val="InternetLink1"/>
          <w:rFonts w:cs="Arial" w:ascii="Verdana" w:hAnsi="Verdana"/>
          <w:b/>
          <w:bCs/>
          <w:iCs/>
          <w:color w:val="000000"/>
          <w:sz w:val="20"/>
          <w:szCs w:val="20"/>
          <w:u w:val="none"/>
          <w:shd w:fill="FFFF00" w:val="clear"/>
        </w:rPr>
        <w:t xml:space="preserve">4.2.2 A empresa que se favorecer dos benefícios concedidos às microempresas ou empresas de pequeno porte, conforme previsto neste Edital, deverá, junto à sua documentação de habilitação, apresentar todas as certidões relativas a regularidade fiscal, mesmo que contenham alguma restrição, e ainda, a certidão expedida pela Junta Comercial da região sede da empresa, demonstrando a situação de enquadramento, emitida a partir do ano de </w:t>
      </w:r>
      <w:r>
        <w:rPr>
          <w:rStyle w:val="InternetLink1"/>
          <w:rFonts w:cs="Arial" w:ascii="Verdana" w:hAnsi="Verdana"/>
          <w:b/>
          <w:bCs/>
          <w:iCs/>
          <w:color w:val="FF0000"/>
          <w:sz w:val="20"/>
          <w:szCs w:val="20"/>
          <w:u w:val="none"/>
          <w:shd w:fill="FFFF00" w:val="clear"/>
        </w:rPr>
        <w:t>2025</w:t>
      </w:r>
      <w:r>
        <w:rPr>
          <w:rStyle w:val="InternetLink1"/>
          <w:rFonts w:cs="Arial" w:ascii="Verdana" w:hAnsi="Verdana"/>
          <w:b/>
          <w:bCs/>
          <w:iCs/>
          <w:color w:val="000000"/>
          <w:sz w:val="20"/>
          <w:szCs w:val="20"/>
          <w:u w:val="none"/>
          <w:shd w:fill="FFFF00" w:val="clear"/>
        </w:rPr>
        <w:t>, sob pena de perda do direito de gozo dos referidos benefícios.</w:t>
      </w:r>
    </w:p>
    <w:p>
      <w:pPr>
        <w:pStyle w:val="Normal"/>
        <w:spacing w:lineRule="auto" w:line="240" w:before="57" w:after="57"/>
        <w:jc w:val="both"/>
        <w:rPr>
          <w:rFonts w:ascii="Verdana" w:hAnsi="Verdana"/>
          <w:sz w:val="20"/>
          <w:szCs w:val="20"/>
        </w:rPr>
      </w:pPr>
      <w:r>
        <w:rPr>
          <w:rFonts w:cs="Arial" w:ascii="Verdana" w:hAnsi="Verdana"/>
          <w:bCs/>
          <w:color w:val="000000"/>
          <w:sz w:val="20"/>
          <w:szCs w:val="20"/>
        </w:rPr>
        <w:t>4.3 Não poderão participar desta licitação os interessados:</w:t>
      </w:r>
    </w:p>
    <w:p>
      <w:pPr>
        <w:pStyle w:val="Normal"/>
        <w:tabs>
          <w:tab w:val="clear" w:pos="708"/>
          <w:tab w:val="left" w:pos="1440" w:leader="none"/>
        </w:tabs>
        <w:snapToGrid w:val="false"/>
        <w:spacing w:lineRule="auto" w:line="240" w:before="57" w:after="57"/>
        <w:jc w:val="both"/>
        <w:rPr>
          <w:rFonts w:ascii="Verdana" w:hAnsi="Verdana"/>
          <w:sz w:val="20"/>
          <w:szCs w:val="20"/>
        </w:rPr>
      </w:pPr>
      <w:r>
        <w:rPr>
          <w:rFonts w:cs="Arial" w:ascii="Verdana" w:hAnsi="Verdana"/>
          <w:bCs/>
          <w:sz w:val="20"/>
          <w:szCs w:val="20"/>
        </w:rPr>
        <w:t>4.3.1 Proibidos de participar de licitações e celebrar contratos administrativos, na forma da legislação vigente;</w:t>
      </w:r>
    </w:p>
    <w:p>
      <w:pPr>
        <w:pStyle w:val="Normal"/>
        <w:tabs>
          <w:tab w:val="clear" w:pos="708"/>
          <w:tab w:val="left" w:pos="1440" w:leader="none"/>
        </w:tabs>
        <w:snapToGrid w:val="false"/>
        <w:spacing w:lineRule="auto" w:line="240" w:before="57" w:after="57"/>
        <w:jc w:val="both"/>
        <w:rPr>
          <w:rFonts w:ascii="Verdana" w:hAnsi="Verdana"/>
          <w:sz w:val="20"/>
          <w:szCs w:val="20"/>
        </w:rPr>
      </w:pPr>
      <w:r>
        <w:rPr>
          <w:rFonts w:cs="Arial" w:ascii="Verdana" w:hAnsi="Verdana"/>
          <w:bCs/>
          <w:sz w:val="20"/>
          <w:szCs w:val="20"/>
        </w:rPr>
        <w:t>4.3.2 Que não atendam às condições deste Edital e seu(s) anexo(s);</w:t>
      </w:r>
    </w:p>
    <w:p>
      <w:pPr>
        <w:pStyle w:val="Normal"/>
        <w:tabs>
          <w:tab w:val="clear" w:pos="708"/>
          <w:tab w:val="left" w:pos="1440" w:leader="none"/>
        </w:tabs>
        <w:snapToGrid w:val="false"/>
        <w:spacing w:lineRule="auto" w:line="240" w:before="57" w:after="57"/>
        <w:jc w:val="both"/>
        <w:rPr>
          <w:rFonts w:ascii="Verdana" w:hAnsi="Verdana"/>
          <w:sz w:val="20"/>
          <w:szCs w:val="20"/>
        </w:rPr>
      </w:pPr>
      <w:r>
        <w:rPr>
          <w:rFonts w:cs="Arial" w:ascii="Verdana" w:hAnsi="Verdana"/>
          <w:bCs/>
          <w:color w:val="000000"/>
          <w:sz w:val="20"/>
          <w:szCs w:val="20"/>
        </w:rPr>
        <w:t>4.3.3 A</w:t>
      </w:r>
      <w:bookmarkStart w:id="2"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2"/>
    </w:p>
    <w:p>
      <w:pPr>
        <w:pStyle w:val="Normal"/>
        <w:tabs>
          <w:tab w:val="clear" w:pos="708"/>
          <w:tab w:val="left" w:pos="1440" w:leader="none"/>
        </w:tabs>
        <w:snapToGrid w:val="false"/>
        <w:spacing w:lineRule="auto" w:line="240" w:before="57" w:after="57"/>
        <w:jc w:val="both"/>
        <w:rPr>
          <w:rFonts w:ascii="Verdana" w:hAnsi="Verdana"/>
          <w:sz w:val="20"/>
          <w:szCs w:val="20"/>
        </w:rPr>
      </w:pPr>
      <w:r>
        <w:rPr>
          <w:rFonts w:eastAsia="Arial Unicode MS" w:cs="Arial" w:ascii="Verdana" w:hAnsi="Verdana"/>
          <w:color w:val="000000"/>
          <w:sz w:val="20"/>
          <w:szCs w:val="20"/>
        </w:rPr>
        <w:t>4.3.4 E</w:t>
      </w:r>
      <w:bookmarkStart w:id="3"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pPr>
        <w:pStyle w:val="Normal"/>
        <w:tabs>
          <w:tab w:val="clear" w:pos="708"/>
          <w:tab w:val="left" w:pos="1440"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4.3.5 P</w:t>
      </w:r>
      <w:bookmarkStart w:id="4"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4"/>
    </w:p>
    <w:p>
      <w:pPr>
        <w:pStyle w:val="Normal"/>
        <w:tabs>
          <w:tab w:val="clear" w:pos="708"/>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08"/>
          <w:tab w:val="left" w:pos="1440"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4.3.7 E</w:t>
      </w:r>
      <w:bookmarkStart w:id="5" w:name="_Ref113883579"/>
      <w:r>
        <w:rPr>
          <w:rFonts w:cs="Arial" w:ascii="Verdana" w:hAnsi="Verdana"/>
          <w:color w:val="000000"/>
          <w:sz w:val="20"/>
          <w:szCs w:val="20"/>
        </w:rPr>
        <w:t>mpresas controladoras, controladas ou coligadas, nos termos da Lei nº 6.404, de 15 de dezembro de 1976, concorrendo entre si;</w:t>
      </w:r>
      <w:bookmarkEnd w:id="5"/>
    </w:p>
    <w:p>
      <w:pPr>
        <w:pStyle w:val="Normal"/>
        <w:tabs>
          <w:tab w:val="clear" w:pos="708"/>
          <w:tab w:val="left" w:pos="1440"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40" w:before="57" w:after="57"/>
        <w:jc w:val="both"/>
        <w:rPr>
          <w:rFonts w:ascii="Verdana" w:hAnsi="Verdana"/>
          <w:sz w:val="20"/>
          <w:szCs w:val="20"/>
        </w:rPr>
      </w:pPr>
      <w:r>
        <w:rPr>
          <w:rFonts w:cs="Arial" w:ascii="Verdana" w:hAnsi="Verdana"/>
          <w:color w:val="000000"/>
          <w:sz w:val="20"/>
          <w:szCs w:val="20"/>
        </w:rPr>
        <w:t>4.3.9 A</w:t>
      </w:r>
      <w:bookmarkStart w:id="6" w:name="_Ref113962336"/>
      <w:r>
        <w:rPr>
          <w:rFonts w:cs="Arial" w:ascii="Verdana" w:hAnsi="Verdana"/>
          <w:color w:val="000000"/>
          <w:sz w:val="20"/>
          <w:szCs w:val="20"/>
        </w:rPr>
        <w:t>gente público do órgão ou entidade licitante;</w:t>
      </w:r>
      <w:bookmarkEnd w:id="6"/>
    </w:p>
    <w:p>
      <w:pPr>
        <w:pStyle w:val="Normal"/>
        <w:snapToGrid w:val="false"/>
        <w:spacing w:lineRule="auto" w:line="240" w:before="57" w:after="57"/>
        <w:jc w:val="both"/>
        <w:rPr>
          <w:rFonts w:ascii="Verdana" w:hAnsi="Verdana"/>
          <w:sz w:val="20"/>
          <w:szCs w:val="20"/>
        </w:rPr>
      </w:pPr>
      <w:r>
        <w:rPr>
          <w:rFonts w:cs="Arial" w:ascii="Verdana" w:hAnsi="Verdana"/>
          <w:bCs/>
          <w:color w:val="000000"/>
          <w:sz w:val="20"/>
          <w:szCs w:val="20"/>
        </w:rPr>
        <w:t>4.3.10 Organizações da Sociedade Civil interesse Público – OSCIP, atuando nessa condição;</w:t>
      </w:r>
    </w:p>
    <w:p>
      <w:pPr>
        <w:pStyle w:val="Normal"/>
        <w:snapToGrid w:val="false"/>
        <w:spacing w:lineRule="auto" w:line="240" w:before="57" w:after="57"/>
        <w:jc w:val="both"/>
        <w:rPr/>
      </w:pPr>
      <w:r>
        <w:rPr>
          <w:rFonts w:cs="Arial" w:ascii="Verdana" w:hAnsi="Verdana"/>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lineRule="auto" w:line="240"/>
        <w:ind w:hanging="0" w:left="0"/>
        <w:rPr>
          <w:rFonts w:ascii="Verdana" w:hAnsi="Verdana"/>
          <w:sz w:val="20"/>
          <w:szCs w:val="20"/>
        </w:rPr>
      </w:pPr>
      <w:r>
        <w:rPr>
          <w:rFonts w:eastAsia="Segoe UI" w:cs="Arial" w:ascii="Verdana" w:hAnsi="Verdana"/>
          <w:bCs/>
          <w:color w:val="000000"/>
          <w:sz w:val="20"/>
          <w:szCs w:val="2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lineRule="auto" w:line="240"/>
        <w:ind w:hanging="0" w:left="0"/>
        <w:rPr>
          <w:rFonts w:ascii="Verdana" w:hAnsi="Verdana"/>
          <w:sz w:val="20"/>
          <w:szCs w:val="20"/>
        </w:rPr>
      </w:pPr>
      <w:bookmarkStart w:id="7" w:name="art14§2"/>
      <w:bookmarkEnd w:id="7"/>
      <w:r>
        <w:rPr>
          <w:rFonts w:eastAsia="Segoe UI" w:cs="Arial" w:ascii="Verdana" w:hAnsi="Verdana"/>
          <w:bCs/>
          <w:color w:val="000000"/>
          <w:sz w:val="20"/>
          <w:szCs w:val="2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lineRule="auto" w:line="240"/>
        <w:ind w:hanging="0" w:left="0"/>
        <w:rPr>
          <w:rFonts w:ascii="Verdana" w:hAnsi="Verdana"/>
          <w:sz w:val="20"/>
          <w:szCs w:val="20"/>
        </w:rPr>
      </w:pPr>
      <w:bookmarkStart w:id="8" w:name="art14§3"/>
      <w:bookmarkEnd w:id="8"/>
      <w:r>
        <w:rPr>
          <w:rFonts w:eastAsia="Segoe UI" w:cs="Arial" w:ascii="Verdana" w:hAnsi="Verdana"/>
          <w:bCs/>
          <w:color w:val="000000"/>
          <w:sz w:val="20"/>
          <w:szCs w:val="20"/>
        </w:rPr>
        <w:t>4.6 Equiparam-se aos autores do projeto as empresas integrantes do mesmo grupo econômico.</w:t>
      </w:r>
    </w:p>
    <w:p>
      <w:pPr>
        <w:pStyle w:val="Nivel2"/>
        <w:numPr>
          <w:ilvl w:val="0"/>
          <w:numId w:val="0"/>
        </w:numPr>
        <w:spacing w:lineRule="auto" w:line="240"/>
        <w:ind w:hanging="0" w:left="0"/>
        <w:rPr>
          <w:rFonts w:ascii="Verdana" w:hAnsi="Verdana"/>
          <w:sz w:val="20"/>
          <w:szCs w:val="20"/>
        </w:rPr>
      </w:pPr>
      <w:bookmarkStart w:id="9" w:name="art14§4"/>
      <w:bookmarkEnd w:id="9"/>
      <w:r>
        <w:rPr>
          <w:rFonts w:eastAsia="Segoe UI" w:cs="Arial" w:ascii="Verdana" w:hAnsi="Verdana"/>
          <w:bCs/>
          <w:color w:val="000000"/>
          <w:sz w:val="20"/>
          <w:szCs w:val="2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lineRule="auto" w:line="240"/>
        <w:ind w:hanging="0" w:left="0"/>
        <w:rPr/>
      </w:pPr>
      <w:bookmarkStart w:id="10" w:name="art14§5"/>
      <w:bookmarkEnd w:id="10"/>
      <w:r>
        <w:rPr>
          <w:rFonts w:eastAsia="Segoe UI" w:cs="Arial" w:ascii="Verdana" w:hAnsi="Verdana"/>
          <w:bCs/>
          <w:color w:val="000000"/>
          <w:sz w:val="20"/>
          <w:szCs w:val="2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sz w:val="20"/>
          <w:szCs w:val="20"/>
          <w:u w:val="none"/>
        </w:rPr>
        <w:t>Lei nº 14.133/2021</w:t>
      </w:r>
      <w:r>
        <w:rPr>
          <w:rFonts w:eastAsia="Segoe UI" w:cs="Arial" w:ascii="Verdana" w:hAnsi="Verdana"/>
          <w:bCs/>
          <w:color w:val="000000"/>
          <w:sz w:val="20"/>
          <w:szCs w:val="20"/>
        </w:rPr>
        <w:t>.</w:t>
      </w:r>
    </w:p>
    <w:p>
      <w:pPr>
        <w:pStyle w:val="Nivel2"/>
        <w:numPr>
          <w:ilvl w:val="0"/>
          <w:numId w:val="0"/>
        </w:numPr>
        <w:spacing w:lineRule="auto" w:line="240"/>
        <w:ind w:hanging="0" w:left="0"/>
        <w:rPr>
          <w:rFonts w:ascii="Verdana" w:hAnsi="Verdana"/>
          <w:sz w:val="20"/>
          <w:szCs w:val="20"/>
        </w:rPr>
      </w:pPr>
      <w:r>
        <w:rPr>
          <w:rFonts w:eastAsia="Segoe UI" w:cs="Arial" w:ascii="Verdana" w:hAnsi="Verdana"/>
          <w:bCs/>
          <w:color w:val="000000"/>
          <w:sz w:val="20"/>
          <w:szCs w:val="2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spacing w:lineRule="auto" w:line="240" w:before="0" w:after="0"/>
        <w:ind w:hanging="0" w:left="0"/>
        <w:rPr>
          <w:rFonts w:ascii="Verdana" w:hAnsi="Verdana" w:eastAsia="Segoe UI" w:cs="Arial"/>
          <w:bCs/>
          <w:color w:val="000000"/>
          <w:sz w:val="20"/>
          <w:szCs w:val="20"/>
        </w:rPr>
      </w:pPr>
      <w:r>
        <w:rPr>
          <w:rFonts w:eastAsia="Segoe UI" w:cs="Arial" w:ascii="Verdana" w:hAnsi="Verdana"/>
          <w:bCs/>
          <w:color w:val="000000"/>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rPr>
        <w:t>DA APRESENTAÇÃO DA PROPOSTA E DOS DOCUMENTOS DE HABILITAÇÃO</w:t>
      </w:r>
    </w:p>
    <w:p>
      <w:pPr>
        <w:pStyle w:val="Normal"/>
        <w:numPr>
          <w:ilvl w:val="1"/>
          <w:numId w:val="13"/>
        </w:numPr>
        <w:tabs>
          <w:tab w:val="clear" w:pos="708"/>
          <w:tab w:val="left" w:pos="450" w:leader="none"/>
          <w:tab w:val="left" w:pos="1450" w:leader="none"/>
        </w:tabs>
        <w:spacing w:lineRule="auto" w:line="240" w:before="57" w:after="57"/>
        <w:ind w:hanging="0" w:left="0"/>
        <w:jc w:val="both"/>
        <w:rPr>
          <w:rFonts w:ascii="Verdana" w:hAnsi="Verdana"/>
          <w:sz w:val="20"/>
          <w:szCs w:val="20"/>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14"/>
        </w:numPr>
        <w:tabs>
          <w:tab w:val="clear" w:pos="708"/>
          <w:tab w:val="left" w:pos="450" w:leader="none"/>
        </w:tabs>
        <w:spacing w:lineRule="auto" w:line="240" w:before="57" w:after="57"/>
        <w:ind w:hanging="0" w:left="0"/>
        <w:jc w:val="both"/>
        <w:rPr>
          <w:rFonts w:ascii="Verdana" w:hAnsi="Verdana"/>
          <w:sz w:val="20"/>
          <w:szCs w:val="20"/>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15"/>
        </w:numPr>
        <w:tabs>
          <w:tab w:val="clear" w:pos="708"/>
          <w:tab w:val="left" w:pos="450" w:leader="none"/>
        </w:tabs>
        <w:spacing w:lineRule="auto" w:line="240" w:before="57" w:after="57"/>
        <w:ind w:hanging="0" w:left="0"/>
        <w:jc w:val="both"/>
        <w:rPr>
          <w:rFonts w:ascii="Verdana" w:hAnsi="Verdana"/>
          <w:sz w:val="20"/>
          <w:szCs w:val="20"/>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16"/>
        </w:numPr>
        <w:tabs>
          <w:tab w:val="clear" w:pos="708"/>
          <w:tab w:val="left" w:pos="450" w:leader="none"/>
        </w:tabs>
        <w:spacing w:lineRule="auto" w:line="240" w:before="57" w:after="57"/>
        <w:ind w:hanging="0" w:left="0"/>
        <w:jc w:val="both"/>
        <w:rPr>
          <w:rFonts w:ascii="Verdana" w:hAnsi="Verdana"/>
          <w:sz w:val="20"/>
          <w:szCs w:val="20"/>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17"/>
        </w:numPr>
        <w:tabs>
          <w:tab w:val="clear" w:pos="708"/>
          <w:tab w:val="left" w:pos="450" w:leader="none"/>
        </w:tabs>
        <w:spacing w:lineRule="auto" w:line="240" w:before="57" w:after="57"/>
        <w:ind w:hanging="0" w:left="0"/>
        <w:jc w:val="both"/>
        <w:rPr>
          <w:rFonts w:ascii="Verdana" w:hAnsi="Verdana"/>
          <w:sz w:val="20"/>
          <w:szCs w:val="20"/>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18"/>
        </w:numPr>
        <w:tabs>
          <w:tab w:val="clear" w:pos="708"/>
          <w:tab w:val="left" w:pos="450" w:leader="none"/>
        </w:tabs>
        <w:spacing w:lineRule="auto" w:line="240" w:before="57" w:after="57"/>
        <w:ind w:hanging="0" w:left="0"/>
        <w:jc w:val="both"/>
        <w:rPr>
          <w:rFonts w:ascii="Verdana" w:hAnsi="Verdana"/>
          <w:sz w:val="20"/>
          <w:szCs w:val="20"/>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19"/>
        </w:numPr>
        <w:tabs>
          <w:tab w:val="clear" w:pos="708"/>
          <w:tab w:val="left" w:pos="450" w:leader="none"/>
        </w:tabs>
        <w:spacing w:lineRule="auto" w:line="240" w:before="57" w:after="57"/>
        <w:ind w:hanging="0" w:left="0"/>
        <w:jc w:val="both"/>
        <w:rPr>
          <w:rFonts w:ascii="Verdana" w:hAnsi="Verdana"/>
          <w:sz w:val="20"/>
          <w:szCs w:val="20"/>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0"/>
        </w:numPr>
        <w:tabs>
          <w:tab w:val="clear" w:pos="708"/>
          <w:tab w:val="left" w:pos="450" w:leader="none"/>
        </w:tabs>
        <w:spacing w:lineRule="auto" w:line="240" w:before="57" w:after="57"/>
        <w:ind w:hanging="0" w:left="0"/>
        <w:jc w:val="both"/>
        <w:rPr>
          <w:rFonts w:ascii="Verdana" w:hAnsi="Verdana"/>
          <w:sz w:val="20"/>
          <w:szCs w:val="20"/>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08"/>
          <w:tab w:val="left" w:pos="450" w:leader="none"/>
        </w:tabs>
        <w:spacing w:lineRule="auto" w:line="240" w:before="57" w:after="57"/>
        <w:jc w:val="both"/>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rPr>
        <w:t>DO PREENCHIMENTO DA PROPOSTA</w:t>
      </w:r>
    </w:p>
    <w:p>
      <w:pPr>
        <w:pStyle w:val="Normal"/>
        <w:numPr>
          <w:ilvl w:val="1"/>
          <w:numId w:val="2"/>
        </w:numPr>
        <w:tabs>
          <w:tab w:val="clear" w:pos="708"/>
          <w:tab w:val="left" w:pos="450" w:leader="none"/>
        </w:tabs>
        <w:spacing w:lineRule="auto" w:line="240" w:before="0" w:after="0"/>
        <w:ind w:hanging="0" w:left="0" w:right="113"/>
        <w:jc w:val="both"/>
        <w:rPr>
          <w:rFonts w:ascii="Verdana" w:hAnsi="Verdana"/>
          <w:sz w:val="20"/>
          <w:szCs w:val="20"/>
        </w:rPr>
      </w:pPr>
      <w:r>
        <w:rPr>
          <w:rFonts w:cs="Arial" w:ascii="Verdana" w:hAnsi="Verdana"/>
          <w:sz w:val="20"/>
          <w:szCs w:val="20"/>
        </w:rPr>
        <w:t>O licitante deverá enviar sua proposta mediante o preenchimento, no sistema eletrônico, dos seguintes campos:</w:t>
      </w:r>
    </w:p>
    <w:p>
      <w:pPr>
        <w:pStyle w:val="Normal"/>
        <w:numPr>
          <w:ilvl w:val="2"/>
          <w:numId w:val="2"/>
        </w:numPr>
        <w:tabs>
          <w:tab w:val="clear" w:pos="708"/>
          <w:tab w:val="left" w:pos="617" w:leader="none"/>
          <w:tab w:val="left" w:pos="733" w:leader="none"/>
        </w:tabs>
        <w:snapToGrid w:val="false"/>
        <w:spacing w:lineRule="auto" w:line="240" w:before="113" w:after="113"/>
        <w:ind w:hanging="1638" w:left="1638" w:right="113"/>
        <w:jc w:val="both"/>
        <w:rPr>
          <w:rFonts w:ascii="Verdana" w:hAnsi="Verdana"/>
          <w:sz w:val="20"/>
          <w:szCs w:val="20"/>
        </w:rPr>
      </w:pPr>
      <w:r>
        <w:rPr>
          <w:rFonts w:cs="Arial" w:ascii="Verdana" w:hAnsi="Verdana"/>
          <w:iCs/>
          <w:color w:themeColor="text1" w:val="000000"/>
          <w:sz w:val="20"/>
          <w:szCs w:val="20"/>
        </w:rPr>
        <w:t>Valor unitário e total do item;</w:t>
      </w:r>
    </w:p>
    <w:p>
      <w:pPr>
        <w:pStyle w:val="Normal"/>
        <w:tabs>
          <w:tab w:val="clear" w:pos="708"/>
          <w:tab w:val="left" w:pos="617" w:leader="none"/>
          <w:tab w:val="left" w:pos="1440" w:leader="none"/>
        </w:tabs>
        <w:snapToGrid w:val="false"/>
        <w:spacing w:lineRule="auto" w:line="240" w:before="113" w:after="113"/>
        <w:ind w:right="113"/>
        <w:jc w:val="both"/>
        <w:rPr>
          <w:rFonts w:ascii="Verdana" w:hAnsi="Verdana"/>
          <w:sz w:val="20"/>
          <w:szCs w:val="20"/>
        </w:rPr>
      </w:pPr>
      <w:r>
        <w:rPr>
          <w:rFonts w:cs="Arial" w:ascii="Verdana" w:hAnsi="Verdana"/>
          <w:iCs/>
          <w:color w:themeColor="text1" w:val="000000"/>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tabs>
          <w:tab w:val="clear" w:pos="708"/>
          <w:tab w:val="left" w:pos="617" w:leader="none"/>
          <w:tab w:val="left" w:pos="683" w:leader="none"/>
        </w:tabs>
        <w:snapToGrid w:val="false"/>
        <w:spacing w:lineRule="auto" w:line="240" w:before="113" w:after="113"/>
        <w:ind w:hanging="0" w:left="0" w:right="113"/>
        <w:jc w:val="both"/>
        <w:rPr>
          <w:rFonts w:ascii="Verdana" w:hAnsi="Verdana"/>
          <w:sz w:val="20"/>
          <w:szCs w:val="20"/>
        </w:rPr>
      </w:pPr>
      <w:r>
        <w:rPr>
          <w:rFonts w:cs="Arial" w:ascii="Verdana" w:hAnsi="Verdana"/>
          <w:bCs/>
          <w:iCs/>
          <w:color w:val="000000"/>
          <w:sz w:val="20"/>
          <w:szCs w:val="20"/>
        </w:rPr>
        <w:t>Marca;</w:t>
      </w:r>
    </w:p>
    <w:p>
      <w:pPr>
        <w:pStyle w:val="Normal"/>
        <w:numPr>
          <w:ilvl w:val="2"/>
          <w:numId w:val="2"/>
        </w:numPr>
        <w:tabs>
          <w:tab w:val="clear" w:pos="708"/>
          <w:tab w:val="left" w:pos="617" w:leader="none"/>
          <w:tab w:val="left" w:pos="683" w:leader="none"/>
        </w:tabs>
        <w:snapToGrid w:val="false"/>
        <w:spacing w:lineRule="auto" w:line="240" w:before="113" w:after="113"/>
        <w:ind w:hanging="0" w:left="0" w:right="113"/>
        <w:jc w:val="both"/>
        <w:rPr>
          <w:rFonts w:ascii="Verdana" w:hAnsi="Verdana"/>
          <w:sz w:val="20"/>
          <w:szCs w:val="20"/>
        </w:rPr>
      </w:pPr>
      <w:r>
        <w:rPr>
          <w:rFonts w:cs="Arial" w:ascii="Verdana" w:hAnsi="Verdana"/>
          <w:bCs/>
          <w:iCs/>
          <w:color w:val="000000"/>
          <w:sz w:val="20"/>
          <w:szCs w:val="20"/>
        </w:rPr>
        <w:t>Fabricante;</w:t>
      </w:r>
    </w:p>
    <w:p>
      <w:pPr>
        <w:pStyle w:val="Normal"/>
        <w:numPr>
          <w:ilvl w:val="2"/>
          <w:numId w:val="2"/>
        </w:numPr>
        <w:tabs>
          <w:tab w:val="clear" w:pos="708"/>
          <w:tab w:val="left" w:pos="617" w:leader="none"/>
          <w:tab w:val="left" w:pos="683" w:leader="none"/>
        </w:tabs>
        <w:snapToGrid w:val="false"/>
        <w:spacing w:lineRule="auto" w:line="240" w:before="113" w:after="113"/>
        <w:ind w:hanging="0" w:left="0" w:right="113"/>
        <w:jc w:val="both"/>
        <w:rPr>
          <w:rFonts w:ascii="Verdana" w:hAnsi="Verdana"/>
          <w:sz w:val="20"/>
          <w:szCs w:val="20"/>
        </w:rPr>
      </w:pPr>
      <w:r>
        <w:rPr>
          <w:rFonts w:cs="Arial" w:ascii="Verdana" w:hAnsi="Verdana"/>
          <w:bCs/>
          <w:iCs/>
          <w:color w:val="000000"/>
          <w:sz w:val="20"/>
          <w:szCs w:val="20"/>
        </w:rPr>
        <w:t>Descrição detalhada do objeto, contendo as informações similares à especificação constante deste edital</w:t>
      </w:r>
      <w:r>
        <w:rPr>
          <w:rFonts w:cs="Arial" w:ascii="Verdana" w:hAnsi="Verdana"/>
          <w:bCs/>
          <w:iCs/>
          <w:color w:themeColor="text1" w:val="000000"/>
          <w:sz w:val="20"/>
          <w:szCs w:val="20"/>
        </w:rPr>
        <w:t>: indicando, no que for aplicável</w:t>
      </w:r>
      <w:r>
        <w:rPr>
          <w:rFonts w:cs="Arial" w:ascii="Verdana" w:hAnsi="Verdana"/>
          <w:iCs/>
          <w:color w:themeColor="text1" w:val="000000"/>
          <w:sz w:val="20"/>
          <w:szCs w:val="20"/>
        </w:rPr>
        <w:t>, o modelo, prazo de validade ou de garantia.</w:t>
      </w:r>
      <w:r>
        <w:rPr>
          <w:rFonts w:cs="Arial" w:ascii="Verdana" w:hAnsi="Verdana"/>
          <w:i/>
          <w:color w:themeColor="text1" w:val="000000"/>
          <w:sz w:val="20"/>
          <w:szCs w:val="20"/>
        </w:rPr>
        <w:t xml:space="preserve"> </w:t>
      </w:r>
    </w:p>
    <w:p>
      <w:pPr>
        <w:pStyle w:val="ListParagraph"/>
        <w:numPr>
          <w:ilvl w:val="1"/>
          <w:numId w:val="2"/>
        </w:numPr>
        <w:tabs>
          <w:tab w:val="clear" w:pos="708"/>
          <w:tab w:val="left" w:pos="450" w:leader="none"/>
        </w:tabs>
        <w:spacing w:lineRule="auto" w:line="240" w:before="113" w:after="113"/>
        <w:ind w:hanging="6" w:left="0" w:right="113"/>
        <w:contextualSpacing/>
        <w:jc w:val="both"/>
        <w:rPr>
          <w:rFonts w:ascii="Verdana" w:hAnsi="Verdana"/>
          <w:sz w:val="20"/>
          <w:szCs w:val="20"/>
        </w:rPr>
      </w:pPr>
      <w:r>
        <w:rPr>
          <w:rFonts w:cs="Arial" w:ascii="Verdana" w:hAnsi="Verdana"/>
          <w:sz w:val="20"/>
          <w:szCs w:val="20"/>
        </w:rPr>
        <w:t>Todas as especificações do objeto contidas na proposta vinculam a Contratada.</w:t>
      </w:r>
    </w:p>
    <w:p>
      <w:pPr>
        <w:pStyle w:val="ListParagraph"/>
        <w:numPr>
          <w:ilvl w:val="1"/>
          <w:numId w:val="2"/>
        </w:numPr>
        <w:tabs>
          <w:tab w:val="clear" w:pos="708"/>
          <w:tab w:val="left" w:pos="450" w:leader="none"/>
        </w:tabs>
        <w:spacing w:lineRule="auto" w:line="240" w:before="113" w:after="113"/>
        <w:ind w:hanging="6" w:left="0" w:right="113"/>
        <w:contextualSpacing/>
        <w:jc w:val="both"/>
        <w:rPr>
          <w:rFonts w:ascii="Verdana" w:hAnsi="Verdana"/>
          <w:sz w:val="20"/>
          <w:szCs w:val="20"/>
        </w:rPr>
      </w:pP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08"/>
          <w:tab w:val="left" w:pos="450" w:leader="none"/>
        </w:tabs>
        <w:spacing w:lineRule="auto" w:line="240" w:before="113" w:after="0"/>
        <w:ind w:hanging="6" w:left="0" w:right="113"/>
        <w:contextualSpacing/>
        <w:jc w:val="both"/>
        <w:rPr>
          <w:rFonts w:ascii="Verdana" w:hAnsi="Verdana"/>
          <w:sz w:val="20"/>
          <w:szCs w:val="20"/>
        </w:rPr>
      </w:pPr>
      <w:r>
        <w:rPr>
          <w:rFonts w:cs="Arial" w:ascii="Verdana" w:hAnsi="Verdana"/>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tabs>
          <w:tab w:val="clear" w:pos="708"/>
          <w:tab w:val="left" w:pos="426" w:leader="none"/>
        </w:tabs>
        <w:suppressAutoHyphens w:val="false"/>
        <w:spacing w:lineRule="auto" w:line="240" w:before="0" w:after="0"/>
        <w:ind w:hanging="0" w:left="0"/>
        <w:rPr>
          <w:rFonts w:ascii="Verdana" w:hAnsi="Verdana"/>
          <w:sz w:val="20"/>
          <w:szCs w:val="20"/>
        </w:rPr>
      </w:pPr>
      <w:r>
        <w:rPr>
          <w:rFonts w:ascii="Verdana" w:hAnsi="Verdana"/>
          <w:sz w:val="20"/>
          <w:szCs w:val="20"/>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1"/>
          <w:numId w:val="2"/>
        </w:numPr>
        <w:tabs>
          <w:tab w:val="clear" w:pos="708"/>
          <w:tab w:val="left" w:pos="450" w:leader="none"/>
        </w:tabs>
        <w:spacing w:lineRule="auto" w:line="240" w:before="113" w:after="113"/>
        <w:ind w:hanging="6" w:left="0" w:right="113"/>
        <w:contextualSpacing/>
        <w:jc w:val="both"/>
        <w:rPr>
          <w:rFonts w:ascii="Verdana" w:hAnsi="Verdana"/>
          <w:sz w:val="20"/>
          <w:szCs w:val="20"/>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2"/>
        </w:numPr>
        <w:tabs>
          <w:tab w:val="clear" w:pos="708"/>
          <w:tab w:val="left" w:pos="450" w:leader="none"/>
        </w:tabs>
        <w:spacing w:lineRule="auto" w:line="240" w:before="113" w:after="113"/>
        <w:ind w:hanging="6" w:left="0" w:right="113"/>
        <w:contextualSpacing/>
        <w:jc w:val="both"/>
        <w:rPr>
          <w:rFonts w:ascii="Verdana" w:hAnsi="Verdana"/>
          <w:sz w:val="20"/>
          <w:szCs w:val="20"/>
        </w:rPr>
      </w:pPr>
      <w:r>
        <w:rPr>
          <w:rFonts w:cs="Arial" w:ascii="Verdana" w:hAnsi="Verdana"/>
          <w:color w:val="000000"/>
          <w:sz w:val="20"/>
          <w:szCs w:val="20"/>
        </w:rPr>
        <w:t>Os licitantes devem respeitar os preços máximos estabelecidos nas normas de regência de contratações públicas federais, quando participarem de licitações públicas;</w:t>
      </w:r>
    </w:p>
    <w:p>
      <w:pPr>
        <w:pStyle w:val="ListParagraph"/>
        <w:spacing w:lineRule="auto" w:line="240" w:before="113" w:after="113"/>
        <w:ind w:left="0" w:right="113"/>
        <w:contextualSpacing/>
        <w:jc w:val="both"/>
        <w:rPr>
          <w:rFonts w:ascii="Verdana" w:hAnsi="Verdana"/>
          <w:sz w:val="20"/>
          <w:szCs w:val="20"/>
        </w:rPr>
      </w:pPr>
      <w:r>
        <w:rPr>
          <w:rFonts w:cs="Arial" w:ascii="Verdana" w:hAnsi="Verdana"/>
          <w:color w:val="000000"/>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ListParagraph"/>
        <w:spacing w:lineRule="auto" w:line="240" w:before="113" w:after="113"/>
        <w:ind w:left="0" w:right="113"/>
        <w:contextualSpacing/>
        <w:jc w:val="both"/>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color w:val="auto"/>
          <w:sz w:val="20"/>
          <w:szCs w:val="20"/>
        </w:rPr>
        <w:t xml:space="preserve">DA ABERTURA DA SESSÃO, CLASSIFICAÇÃO DAS PROPOSTAS E FORMULAÇÃO DE LANCES </w:t>
      </w:r>
    </w:p>
    <w:p>
      <w:pPr>
        <w:pStyle w:val="ListParagraph"/>
        <w:numPr>
          <w:ilvl w:val="1"/>
          <w:numId w:val="2"/>
        </w:numPr>
        <w:tabs>
          <w:tab w:val="clear" w:pos="708"/>
          <w:tab w:val="left" w:pos="517" w:leader="none"/>
        </w:tabs>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lineRule="auto" w:line="240"/>
        <w:ind w:hanging="0" w:left="0"/>
        <w:rPr>
          <w:rFonts w:ascii="Verdana" w:hAnsi="Verdana"/>
          <w:sz w:val="20"/>
          <w:szCs w:val="20"/>
        </w:rPr>
      </w:pPr>
      <w:r>
        <w:rPr>
          <w:rFonts w:cs="Arial" w:ascii="Verdana" w:hAnsi="Verdana"/>
          <w:color w:val="000000"/>
          <w:sz w:val="20"/>
          <w:szCs w:val="2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08"/>
          <w:tab w:val="left" w:pos="683" w:leader="none"/>
        </w:tabs>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08"/>
          <w:tab w:val="left" w:pos="683" w:leader="none"/>
        </w:tabs>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08"/>
          <w:tab w:val="left" w:pos="683"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08"/>
          <w:tab w:val="left" w:pos="683"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7.4 O sistema disponibilizará campo próprio para troca de mensagens entre o Pregoeiro e os licitantes.</w:t>
      </w:r>
    </w:p>
    <w:p>
      <w:pPr>
        <w:pStyle w:val="Normal"/>
        <w:tabs>
          <w:tab w:val="clear" w:pos="708"/>
          <w:tab w:val="left" w:pos="683"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08"/>
          <w:tab w:val="left" w:pos="1440"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global.</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40" w:before="57" w:after="57"/>
        <w:ind w:left="0"/>
        <w:contextualSpacing w:val="false"/>
        <w:jc w:val="both"/>
        <w:rPr>
          <w:rFonts w:ascii="Verdana" w:hAnsi="Verdana"/>
          <w:sz w:val="20"/>
          <w:szCs w:val="20"/>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40" w:before="57" w:after="57"/>
        <w:ind w:left="0"/>
        <w:contextualSpacing w:val="false"/>
        <w:jc w:val="both"/>
        <w:rPr>
          <w:rFonts w:ascii="Verdana" w:hAnsi="Verdana"/>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R$ 100,00. (cem reais)</w:t>
      </w:r>
      <w:r>
        <w:rPr>
          <w:rFonts w:ascii="Verdana" w:hAnsi="Verdana"/>
          <w:i/>
          <w:iCs/>
          <w:sz w:val="20"/>
          <w:szCs w:val="20"/>
        </w:rPr>
        <w:t>.</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 xml:space="preserve">7.9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Default"/>
        <w:spacing w:lineRule="auto" w:line="240"/>
        <w:jc w:val="both"/>
        <w:rPr>
          <w:rFonts w:ascii="Verdana" w:hAnsi="Verdana"/>
          <w:sz w:val="20"/>
          <w:szCs w:val="20"/>
        </w:rPr>
      </w:pPr>
      <w:r>
        <w:rPr>
          <w:rFonts w:cs="Arial" w:ascii="Verdana" w:hAnsi="Verdana"/>
          <w:sz w:val="20"/>
          <w:szCs w:val="20"/>
        </w:rPr>
        <w:t>7.10 A etapa de lances na sessão pública durará 10 (dez) minutos, e após isso, será prorrogada automaticamente pelo sistema eletrônico quando houver lance ofertado nos últimos 2 (dois) minutos do período de duração da sessão pública.</w:t>
      </w:r>
    </w:p>
    <w:p>
      <w:pPr>
        <w:pStyle w:val="Default"/>
        <w:spacing w:lineRule="auto" w:line="240"/>
        <w:jc w:val="both"/>
        <w:rPr>
          <w:rFonts w:ascii="Verdana" w:hAnsi="Verdana"/>
          <w:sz w:val="20"/>
          <w:szCs w:val="20"/>
        </w:rPr>
      </w:pPr>
      <w:r>
        <w:rPr>
          <w:rFonts w:ascii="Verdana" w:hAnsi="Verdana"/>
          <w:sz w:val="20"/>
          <w:szCs w:val="20"/>
        </w:rPr>
        <w:t xml:space="preserve">7.11 </w:t>
      </w:r>
      <w:bookmarkStart w:id="11" w:name="_Hlk169708829"/>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bookmarkEnd w:id="11"/>
    </w:p>
    <w:p>
      <w:pPr>
        <w:pStyle w:val="Default"/>
        <w:spacing w:lineRule="auto" w:line="240"/>
        <w:jc w:val="both"/>
        <w:rPr>
          <w:rFonts w:ascii="Verdana" w:hAnsi="Verdana"/>
          <w:sz w:val="20"/>
          <w:szCs w:val="20"/>
        </w:rPr>
      </w:pPr>
      <w:r>
        <w:rPr>
          <w:rFonts w:ascii="Verdana" w:hAnsi="Verdana"/>
          <w:sz w:val="20"/>
          <w:szCs w:val="20"/>
        </w:rPr>
        <w:t xml:space="preserve">7.12 </w:t>
      </w:r>
      <w:bookmarkStart w:id="12" w:name="_Hlk169708910"/>
      <w:r>
        <w:rPr>
          <w:rFonts w:ascii="Verdana" w:hAnsi="Verdana"/>
          <w:sz w:val="20"/>
          <w:szCs w:val="20"/>
        </w:rPr>
        <w:t>Não havendo novos lances na forma estabelecida nos itens anteriores, a sessão pública encerrar-se-á automaticamente, e o sistema ordenará e divulgará os lances conforme a ordem final de classificação.</w:t>
      </w:r>
      <w:bookmarkEnd w:id="12"/>
    </w:p>
    <w:p>
      <w:pPr>
        <w:pStyle w:val="Default"/>
        <w:spacing w:lineRule="auto" w:line="240"/>
        <w:jc w:val="both"/>
        <w:rPr>
          <w:rFonts w:ascii="Verdana" w:hAnsi="Verdana"/>
          <w:sz w:val="20"/>
          <w:szCs w:val="20"/>
        </w:rPr>
      </w:pPr>
      <w:r>
        <w:rPr>
          <w:rFonts w:ascii="Verdana" w:hAnsi="Verdana"/>
          <w:sz w:val="20"/>
          <w:szCs w:val="20"/>
        </w:rPr>
        <w:t>7.13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spacing w:lineRule="auto" w:line="240"/>
        <w:jc w:val="both"/>
        <w:rPr>
          <w:rFonts w:ascii="Verdana" w:hAnsi="Verdana"/>
          <w:sz w:val="20"/>
          <w:szCs w:val="20"/>
        </w:rPr>
      </w:pPr>
      <w:r>
        <w:rPr>
          <w:rFonts w:ascii="Verdana" w:hAnsi="Verdana"/>
          <w:sz w:val="20"/>
          <w:szCs w:val="20"/>
        </w:rPr>
        <w:t>7.14 Após o reinício previsto no item supra, os licitantes serão convocados para apresentar lances intermediários.</w:t>
      </w:r>
    </w:p>
    <w:p>
      <w:pPr>
        <w:pStyle w:val="Normal"/>
        <w:spacing w:lineRule="auto" w:line="240" w:before="57" w:after="57"/>
        <w:jc w:val="both"/>
        <w:rPr>
          <w:rFonts w:ascii="Verdana" w:hAnsi="Verdana"/>
          <w:sz w:val="20"/>
          <w:szCs w:val="20"/>
        </w:rPr>
      </w:pPr>
      <w:r>
        <w:rPr>
          <w:rFonts w:ascii="Verdana" w:hAnsi="Verdana"/>
          <w:sz w:val="20"/>
          <w:szCs w:val="20"/>
        </w:rPr>
        <w:t>7.15. Após o término dos prazos estabelecidos nos itens anteriores, o sistema ordenará os lances segundo a ordem crescente de valores.</w:t>
      </w:r>
    </w:p>
    <w:p>
      <w:pPr>
        <w:pStyle w:val="Normal"/>
        <w:spacing w:lineRule="auto" w:line="240" w:before="57" w:after="57"/>
        <w:jc w:val="both"/>
        <w:rPr>
          <w:rFonts w:ascii="Verdana" w:hAnsi="Verdana"/>
          <w:sz w:val="20"/>
          <w:szCs w:val="20"/>
        </w:rPr>
      </w:pPr>
      <w:r>
        <w:rPr>
          <w:rFonts w:cs="Arial" w:ascii="Verdana" w:hAnsi="Verdana"/>
          <w:color w:val="000000"/>
          <w:sz w:val="20"/>
          <w:szCs w:val="20"/>
        </w:rPr>
        <w:t>7.16 Não serão aceitos dois ou mais lances de mesmo valor, prevalecendo aquele que for recebido e registrado em primeiro lugar.</w:t>
      </w:r>
    </w:p>
    <w:p>
      <w:pPr>
        <w:pStyle w:val="Normal"/>
        <w:spacing w:lineRule="auto" w:line="240" w:before="57" w:after="57"/>
        <w:jc w:val="both"/>
        <w:rPr>
          <w:rFonts w:ascii="Verdana" w:hAnsi="Verdana"/>
          <w:sz w:val="20"/>
          <w:szCs w:val="20"/>
        </w:rPr>
      </w:pPr>
      <w:r>
        <w:rPr>
          <w:rFonts w:cs="Arial" w:ascii="Verdana" w:hAnsi="Verdana"/>
          <w:color w:val="000000"/>
          <w:sz w:val="20"/>
          <w:szCs w:val="20"/>
        </w:rPr>
        <w:t xml:space="preserve">7.17 Durante o transcurso da sessão pública, os licitantes serão informados, em tempo real, do valor do menor lance registrado, vedada a identificação do licitante. </w:t>
      </w:r>
    </w:p>
    <w:p>
      <w:pPr>
        <w:pStyle w:val="Normal"/>
        <w:spacing w:lineRule="auto" w:line="240" w:before="57" w:after="57"/>
        <w:jc w:val="both"/>
        <w:rPr>
          <w:rFonts w:ascii="Verdana" w:hAnsi="Verdana"/>
          <w:sz w:val="20"/>
          <w:szCs w:val="20"/>
        </w:rPr>
      </w:pPr>
      <w:r>
        <w:rPr>
          <w:rFonts w:cs="Arial" w:ascii="Verdana" w:hAnsi="Verdana"/>
          <w:color w:val="000000"/>
          <w:sz w:val="20"/>
          <w:szCs w:val="20"/>
        </w:rPr>
        <w:t xml:space="preserve">7.18 No caso de desconexão com o Pregoeiro, no decorrer da etapa competitiva do Pregão, o sistema eletrônico poderá permanecer acessível aos licitantes para a recepção dos lances. </w:t>
      </w:r>
    </w:p>
    <w:p>
      <w:pPr>
        <w:pStyle w:val="Normal"/>
        <w:spacing w:lineRule="auto" w:line="240" w:before="57" w:after="57"/>
        <w:jc w:val="both"/>
        <w:rPr>
          <w:rFonts w:ascii="Verdana" w:hAnsi="Verdana"/>
          <w:sz w:val="20"/>
          <w:szCs w:val="20"/>
        </w:rPr>
      </w:pPr>
      <w:r>
        <w:rPr>
          <w:rFonts w:cs="Arial" w:ascii="Verdana" w:hAnsi="Verdana"/>
          <w:color w:val="000000"/>
          <w:sz w:val="20"/>
          <w:szCs w:val="20"/>
        </w:rPr>
        <w:t>7.19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lineRule="auto" w:line="240" w:before="57" w:after="57"/>
        <w:jc w:val="both"/>
        <w:rPr>
          <w:rFonts w:ascii="Verdana" w:hAnsi="Verdana"/>
          <w:sz w:val="20"/>
          <w:szCs w:val="20"/>
        </w:rPr>
      </w:pPr>
      <w:r>
        <w:rPr>
          <w:rFonts w:cs="Arial" w:ascii="Verdana" w:hAnsi="Verdana"/>
          <w:color w:val="000000"/>
          <w:sz w:val="20"/>
          <w:szCs w:val="20"/>
        </w:rPr>
        <w:t>7.20 O Critério de julgamento adotado será o de menor preço, conforme definido neste Edital e seus anexos.</w:t>
      </w:r>
    </w:p>
    <w:p>
      <w:pPr>
        <w:pStyle w:val="Normal"/>
        <w:spacing w:lineRule="auto" w:line="240" w:before="57" w:after="57"/>
        <w:jc w:val="both"/>
        <w:rPr>
          <w:rFonts w:ascii="Verdana" w:hAnsi="Verdana"/>
          <w:sz w:val="20"/>
          <w:szCs w:val="20"/>
        </w:rPr>
      </w:pPr>
      <w:r>
        <w:rPr>
          <w:rFonts w:cs="Arial" w:ascii="Verdana" w:hAnsi="Verdana"/>
          <w:color w:val="000000"/>
          <w:sz w:val="20"/>
          <w:szCs w:val="20"/>
        </w:rPr>
        <w:t>7.21 Caso o licitante não apresente lances, concorrerá com o valor de sua proposta.</w:t>
      </w:r>
    </w:p>
    <w:p>
      <w:pPr>
        <w:pStyle w:val="Normal"/>
        <w:spacing w:lineRule="auto" w:line="240" w:before="57" w:after="57"/>
        <w:jc w:val="both"/>
        <w:rPr>
          <w:rFonts w:ascii="Verdana" w:hAnsi="Verdana"/>
          <w:sz w:val="20"/>
          <w:szCs w:val="20"/>
        </w:rPr>
      </w:pPr>
      <w:r>
        <w:rPr>
          <w:rFonts w:cs="Arial" w:ascii="Verdana" w:hAnsi="Verdana"/>
          <w:color w:val="000000"/>
          <w:sz w:val="20"/>
          <w:szCs w:val="20"/>
        </w:rPr>
        <w:t>7.22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40" w:before="57" w:after="57"/>
        <w:jc w:val="both"/>
        <w:rPr>
          <w:rFonts w:ascii="Verdana" w:hAnsi="Verdana"/>
          <w:sz w:val="20"/>
          <w:szCs w:val="20"/>
        </w:rPr>
      </w:pPr>
      <w:r>
        <w:rPr>
          <w:rFonts w:cs="Arial" w:ascii="Verdana" w:hAnsi="Verdana"/>
          <w:color w:val="000000"/>
          <w:sz w:val="20"/>
          <w:szCs w:val="20"/>
        </w:rPr>
        <w:t>7.23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40" w:before="57" w:after="57"/>
        <w:jc w:val="both"/>
        <w:rPr>
          <w:rFonts w:ascii="Verdana" w:hAnsi="Verdana"/>
          <w:sz w:val="20"/>
          <w:szCs w:val="20"/>
        </w:rPr>
      </w:pPr>
      <w:r>
        <w:rPr>
          <w:rFonts w:cs="Arial" w:ascii="Verdana" w:hAnsi="Verdana"/>
          <w:color w:val="000000"/>
          <w:sz w:val="20"/>
          <w:szCs w:val="20"/>
        </w:rPr>
        <w:t>7.24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40" w:before="57" w:after="57"/>
        <w:jc w:val="both"/>
        <w:rPr>
          <w:rFonts w:ascii="Verdana" w:hAnsi="Verdana"/>
          <w:sz w:val="20"/>
          <w:szCs w:val="20"/>
        </w:rPr>
      </w:pPr>
      <w:r>
        <w:rPr>
          <w:rFonts w:cs="Arial" w:ascii="Verdana" w:hAnsi="Verdana"/>
          <w:color w:val="000000"/>
          <w:sz w:val="20"/>
          <w:szCs w:val="20"/>
        </w:rPr>
        <w:t>7.25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40" w:before="57" w:after="57"/>
        <w:jc w:val="both"/>
        <w:rPr>
          <w:rFonts w:ascii="Verdana" w:hAnsi="Verdana"/>
          <w:sz w:val="20"/>
          <w:szCs w:val="20"/>
        </w:rPr>
      </w:pPr>
      <w:r>
        <w:rPr>
          <w:rFonts w:cs="Arial" w:ascii="Verdana" w:hAnsi="Verdana"/>
          <w:color w:val="000000"/>
          <w:sz w:val="20"/>
          <w:szCs w:val="20"/>
        </w:rPr>
        <w:t>7.26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40" w:before="57" w:after="57"/>
        <w:jc w:val="both"/>
        <w:rPr>
          <w:rFonts w:ascii="Verdana" w:hAnsi="Verdana"/>
          <w:sz w:val="20"/>
          <w:szCs w:val="20"/>
        </w:rPr>
      </w:pPr>
      <w:r>
        <w:rPr>
          <w:rFonts w:cs="Arial" w:ascii="Verdana" w:hAnsi="Verdana"/>
          <w:color w:val="000000"/>
          <w:sz w:val="20"/>
          <w:szCs w:val="20"/>
        </w:rPr>
        <w:t xml:space="preserve">7.27 Só poderá haver empate entre propostas iguais (não seguidas de lances), ou entre lances finais da fase fechada do modo de disputa aberto e fechado. </w:t>
      </w:r>
    </w:p>
    <w:p>
      <w:pPr>
        <w:pStyle w:val="Normal"/>
        <w:spacing w:lineRule="auto" w:line="240" w:before="57" w:after="57"/>
        <w:jc w:val="both"/>
        <w:rPr>
          <w:rFonts w:ascii="Verdana" w:hAnsi="Verdana"/>
          <w:sz w:val="20"/>
          <w:szCs w:val="20"/>
        </w:rPr>
      </w:pPr>
      <w:r>
        <w:rPr>
          <w:rFonts w:cs="Arial" w:ascii="Verdana" w:hAnsi="Verdana"/>
          <w:color w:val="000000"/>
          <w:sz w:val="20"/>
          <w:szCs w:val="20"/>
        </w:rPr>
        <w:t>7.28 Havendo eventual empate entre propostas ou lances, o critério de desempate será aquele previsto no art. 60 da Lei nº 14.133, de 2021, assegurando-se a preferência, sucessivamente, aos bens produzidos ou prestados por:</w:t>
      </w:r>
    </w:p>
    <w:p>
      <w:pPr>
        <w:pStyle w:val="Normal"/>
        <w:spacing w:lineRule="auto" w:line="240" w:before="57" w:after="57"/>
        <w:jc w:val="both"/>
        <w:rPr>
          <w:rFonts w:ascii="Verdana" w:hAnsi="Verdana"/>
          <w:sz w:val="20"/>
          <w:szCs w:val="20"/>
        </w:rPr>
      </w:pPr>
      <w:r>
        <w:rPr>
          <w:rFonts w:cs="Arial" w:ascii="Verdana" w:hAnsi="Verdana"/>
          <w:color w:val="000000"/>
          <w:sz w:val="20"/>
          <w:szCs w:val="20"/>
        </w:rPr>
        <w:t>7.28.1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40" w:before="57" w:after="57"/>
        <w:jc w:val="both"/>
        <w:rPr>
          <w:rFonts w:ascii="Verdana" w:hAnsi="Verdana"/>
          <w:sz w:val="20"/>
          <w:szCs w:val="20"/>
        </w:rPr>
      </w:pPr>
      <w:r>
        <w:rPr>
          <w:rFonts w:cs="Arial" w:ascii="Verdana" w:hAnsi="Verdana"/>
          <w:color w:val="000000"/>
          <w:sz w:val="20"/>
          <w:szCs w:val="20"/>
          <w:lang w:eastAsia="en-US"/>
        </w:rPr>
        <w:t>7.28.3 Por empresas brasileiras;</w:t>
      </w:r>
    </w:p>
    <w:p>
      <w:pPr>
        <w:pStyle w:val="Normal"/>
        <w:spacing w:lineRule="auto" w:line="240" w:before="57" w:after="57"/>
        <w:jc w:val="both"/>
        <w:rPr>
          <w:rFonts w:ascii="Verdana" w:hAnsi="Verdana"/>
          <w:sz w:val="20"/>
          <w:szCs w:val="20"/>
        </w:rPr>
      </w:pPr>
      <w:r>
        <w:rPr>
          <w:rFonts w:cs="Arial" w:ascii="Verdana" w:hAnsi="Verdana"/>
          <w:color w:val="000000"/>
          <w:sz w:val="20"/>
          <w:szCs w:val="20"/>
          <w:lang w:eastAsia="en-US"/>
        </w:rPr>
        <w:t>7.28.4 Por empresas que invistam em pesquisa e no desenvolvimento de tecnologia no País;</w:t>
      </w:r>
    </w:p>
    <w:p>
      <w:pPr>
        <w:pStyle w:val="Normal"/>
        <w:spacing w:lineRule="auto" w:line="240" w:before="57" w:after="57"/>
        <w:jc w:val="both"/>
        <w:rPr/>
      </w:pPr>
      <w:r>
        <w:rPr>
          <w:rFonts w:cs="Arial" w:ascii="Verdana" w:hAnsi="Verdana"/>
          <w:color w:val="000000"/>
          <w:sz w:val="20"/>
          <w:szCs w:val="20"/>
          <w:lang w:eastAsia="en-US"/>
        </w:rPr>
        <w:t xml:space="preserve">7.28.5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lineRule="auto" w:line="240" w:before="57" w:after="57"/>
        <w:jc w:val="both"/>
        <w:rPr>
          <w:rFonts w:ascii="Verdana" w:hAnsi="Verdana"/>
          <w:sz w:val="20"/>
          <w:szCs w:val="20"/>
        </w:rPr>
      </w:pPr>
      <w:r>
        <w:rPr>
          <w:rFonts w:cs="Arial" w:ascii="Verdana" w:hAnsi="Verdana"/>
          <w:color w:val="000000"/>
          <w:sz w:val="20"/>
          <w:szCs w:val="20"/>
          <w:lang w:eastAsia="en-US"/>
        </w:rPr>
        <w:t xml:space="preserve">7.29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40" w:before="57" w:after="57"/>
        <w:jc w:val="both"/>
        <w:rPr>
          <w:rFonts w:ascii="Verdana" w:hAnsi="Verdana"/>
          <w:sz w:val="20"/>
          <w:szCs w:val="20"/>
        </w:rPr>
      </w:pPr>
      <w:r>
        <w:rPr>
          <w:rFonts w:cs="Arial" w:ascii="Verdana" w:hAnsi="Verdana"/>
          <w:color w:val="000000"/>
          <w:sz w:val="20"/>
          <w:szCs w:val="20"/>
        </w:rPr>
        <w:t>7.30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7.30.1 A negociação será realizada por meio do sistema, podendo ser acompanhada pelos demais licitantes.</w:t>
      </w:r>
    </w:p>
    <w:p>
      <w:pPr>
        <w:pStyle w:val="ListParagraph"/>
        <w:tabs>
          <w:tab w:val="clear" w:pos="708"/>
          <w:tab w:val="left" w:pos="-12" w:leader="none"/>
        </w:tabs>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7.30.2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08"/>
          <w:tab w:val="left" w:pos="-12" w:leader="none"/>
        </w:tabs>
        <w:spacing w:lineRule="auto" w:line="240" w:before="57" w:after="57"/>
        <w:ind w:left="0"/>
        <w:contextualSpacing w:val="false"/>
        <w:jc w:val="both"/>
        <w:rPr>
          <w:rFonts w:ascii="Verdana" w:hAnsi="Verdana"/>
          <w:sz w:val="20"/>
          <w:szCs w:val="20"/>
        </w:rPr>
      </w:pPr>
      <w:bookmarkStart w:id="13" w:name="_Hlk169708956"/>
      <w:r>
        <w:rPr>
          <w:rFonts w:cs="Arial" w:ascii="Verdana" w:hAnsi="Verdana"/>
          <w:color w:val="000000"/>
          <w:sz w:val="20"/>
          <w:szCs w:val="20"/>
        </w:rPr>
        <w:t>7.31 Após a negociação do preço, o Pregoeiro iniciará a fase de aceitação e julgamento da proposta.</w:t>
      </w:r>
      <w:bookmarkEnd w:id="13"/>
    </w:p>
    <w:p>
      <w:pPr>
        <w:pStyle w:val="ListParagraph"/>
        <w:tabs>
          <w:tab w:val="clear" w:pos="708"/>
          <w:tab w:val="left" w:pos="-12" w:leader="none"/>
        </w:tabs>
        <w:spacing w:lineRule="auto" w:line="240"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tabs>
          <w:tab w:val="clear" w:pos="567"/>
          <w:tab w:val="left" w:pos="517" w:leader="none"/>
        </w:tabs>
        <w:spacing w:lineRule="auto" w:line="240" w:before="0" w:after="0"/>
        <w:ind w:hanging="0" w:left="0"/>
        <w:rPr>
          <w:rFonts w:ascii="Verdana" w:hAnsi="Verdana"/>
          <w:sz w:val="20"/>
          <w:szCs w:val="20"/>
        </w:rPr>
      </w:pPr>
      <w:r>
        <w:rPr>
          <w:rFonts w:cs="Arial" w:ascii="Verdana" w:hAnsi="Verdana"/>
          <w:sz w:val="20"/>
          <w:szCs w:val="20"/>
          <w:lang w:eastAsia="en-US"/>
        </w:rPr>
        <w:t>DA ACEITABILIDADE DA PROPOSTA VENCEDORA.</w:t>
      </w:r>
    </w:p>
    <w:p>
      <w:pPr>
        <w:pStyle w:val="ListParagraph"/>
        <w:numPr>
          <w:ilvl w:val="1"/>
          <w:numId w:val="2"/>
        </w:numPr>
        <w:tabs>
          <w:tab w:val="clear" w:pos="708"/>
          <w:tab w:val="left" w:pos="517" w:leader="none"/>
        </w:tabs>
        <w:spacing w:lineRule="auto" w:line="240" w:before="0" w:after="0"/>
        <w:ind w:hanging="0" w:left="0"/>
        <w:contextualSpacing w:val="false"/>
        <w:jc w:val="both"/>
        <w:rPr/>
      </w:pPr>
      <w:bookmarkStart w:id="14"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184"/>
          <w:sz w:val="20"/>
          <w:u w:val="single"/>
          <w:szCs w:val="20"/>
          <w:rFonts w:cs="Arial" w:ascii="Verdana" w:hAnsi="Verdana"/>
          <w:color w:val="000080"/>
        </w:rPr>
        <w:instrText xml:space="preserve"> HYPERLINK "http://www.planalto.gov.br/ccivil_03/_ato2019-2022/2021/lei/L14133.htm" \l "art14"</w:instrText>
      </w:r>
      <w:r>
        <w:rPr>
          <w:rStyle w:val="ListLabel184"/>
          <w:sz w:val="20"/>
          <w:u w:val="single"/>
          <w:szCs w:val="20"/>
          <w:rFonts w:cs="Arial" w:ascii="Verdana" w:hAnsi="Verdana"/>
          <w:color w:val="000080"/>
        </w:rPr>
        <w:fldChar w:fldCharType="separate"/>
      </w:r>
      <w:r>
        <w:rPr>
          <w:rStyle w:val="ListLabel184"/>
          <w:rFonts w:cs="Arial" w:ascii="Verdana" w:hAnsi="Verdana"/>
          <w:color w:val="000080"/>
          <w:sz w:val="20"/>
          <w:szCs w:val="20"/>
          <w:u w:val="single"/>
        </w:rPr>
        <w:t>art. 14 da Lei nº 14.133/2021</w:t>
      </w:r>
      <w:r>
        <w:rPr>
          <w:rStyle w:val="ListLabel184"/>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 do edital, </w:t>
      </w:r>
      <w:bookmarkEnd w:id="14"/>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08"/>
          <w:tab w:val="left" w:pos="517" w:leader="none"/>
        </w:tabs>
        <w:spacing w:lineRule="auto" w:line="240" w:before="57" w:after="57"/>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184"/>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184"/>
          <w:sz w:val="20"/>
          <w:u w:val="single"/>
          <w:szCs w:val="20"/>
          <w:rFonts w:cs="Arial" w:ascii="Verdana" w:hAnsi="Verdana"/>
          <w:color w:val="000080"/>
        </w:rPr>
        <w:fldChar w:fldCharType="separate"/>
      </w:r>
      <w:r>
        <w:rPr>
          <w:rStyle w:val="ListLabel184"/>
          <w:rFonts w:cs="Arial" w:ascii="Verdana" w:hAnsi="Verdana"/>
          <w:color w:val="000080"/>
          <w:sz w:val="20"/>
          <w:szCs w:val="20"/>
          <w:u w:val="single"/>
        </w:rPr>
        <w:t>artigo 29 a 35 da IN SEGES nº 73, de 30 de setembro de 2022</w:t>
      </w:r>
      <w:r>
        <w:rPr>
          <w:rStyle w:val="ListLabel184"/>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08"/>
          <w:tab w:val="left" w:pos="517" w:leader="none"/>
        </w:tabs>
        <w:spacing w:lineRule="auto" w:line="240" w:before="57" w:after="57"/>
        <w:ind w:hanging="0" w:left="0"/>
        <w:jc w:val="both"/>
        <w:rPr>
          <w:rFonts w:ascii="Verdana" w:hAnsi="Verdana"/>
          <w:sz w:val="20"/>
          <w:szCs w:val="20"/>
        </w:rPr>
      </w:pPr>
      <w:r>
        <w:rPr>
          <w:rFonts w:ascii="Verdana" w:hAnsi="Verdana"/>
          <w:sz w:val="20"/>
          <w:szCs w:val="20"/>
        </w:rPr>
        <w:t xml:space="preserve">Será desclassificada a proposta ou o lance vencedor, que: </w:t>
      </w:r>
    </w:p>
    <w:p>
      <w:pPr>
        <w:pStyle w:val="Normal"/>
        <w:tabs>
          <w:tab w:val="clear" w:pos="708"/>
          <w:tab w:val="left" w:pos="517" w:leader="none"/>
        </w:tabs>
        <w:spacing w:lineRule="auto" w:line="240" w:before="57" w:after="57"/>
        <w:jc w:val="both"/>
        <w:rPr>
          <w:rFonts w:ascii="Verdana" w:hAnsi="Verdana"/>
          <w:sz w:val="20"/>
          <w:szCs w:val="20"/>
        </w:rPr>
      </w:pPr>
      <w:r>
        <w:rPr>
          <w:rFonts w:ascii="Verdana" w:hAnsi="Verdana"/>
          <w:sz w:val="20"/>
          <w:szCs w:val="20"/>
        </w:rPr>
        <w:t xml:space="preserve">8.4.1 não estiverem em conformidade com os requisitos estabelecidos neste edital; </w:t>
      </w:r>
    </w:p>
    <w:p>
      <w:pPr>
        <w:pStyle w:val="Normal"/>
        <w:tabs>
          <w:tab w:val="clear" w:pos="708"/>
          <w:tab w:val="left" w:pos="517" w:leader="none"/>
        </w:tabs>
        <w:spacing w:lineRule="auto" w:line="240" w:before="57" w:after="57"/>
        <w:jc w:val="both"/>
        <w:rPr>
          <w:rFonts w:ascii="Verdana" w:hAnsi="Verdana"/>
          <w:sz w:val="20"/>
          <w:szCs w:val="20"/>
        </w:rPr>
      </w:pPr>
      <w:r>
        <w:rPr>
          <w:rFonts w:ascii="Verdana" w:hAnsi="Verdana"/>
          <w:sz w:val="20"/>
          <w:szCs w:val="20"/>
        </w:rPr>
        <w:t>8.4.2 contenha vício insanável ou ilegalidade;</w:t>
      </w:r>
    </w:p>
    <w:p>
      <w:pPr>
        <w:pStyle w:val="Normal"/>
        <w:tabs>
          <w:tab w:val="clear" w:pos="708"/>
          <w:tab w:val="left" w:pos="517" w:leader="none"/>
        </w:tabs>
        <w:spacing w:lineRule="auto" w:line="240" w:before="57" w:after="57"/>
        <w:jc w:val="both"/>
        <w:rPr>
          <w:rFonts w:ascii="Verdana" w:hAnsi="Verdana"/>
          <w:sz w:val="20"/>
          <w:szCs w:val="20"/>
        </w:rPr>
      </w:pPr>
      <w:r>
        <w:rPr>
          <w:rFonts w:ascii="Verdana" w:hAnsi="Verdana"/>
          <w:sz w:val="20"/>
          <w:szCs w:val="20"/>
        </w:rPr>
        <w:t>8.4.3 não apresente as especificações técnicas exigidas pelo Termo de Referência;</w:t>
      </w:r>
    </w:p>
    <w:p>
      <w:pPr>
        <w:pStyle w:val="Nivel3"/>
        <w:numPr>
          <w:ilvl w:val="0"/>
          <w:numId w:val="0"/>
        </w:numPr>
        <w:suppressAutoHyphens w:val="false"/>
        <w:spacing w:lineRule="auto" w:line="240"/>
        <w:ind w:hanging="0" w:left="0"/>
        <w:rPr>
          <w:rFonts w:ascii="Verdana" w:hAnsi="Verdana"/>
          <w:sz w:val="20"/>
          <w:szCs w:val="20"/>
        </w:rPr>
      </w:pPr>
      <w:r>
        <w:rPr>
          <w:rFonts w:ascii="Verdana" w:hAnsi="Verdana"/>
          <w:sz w:val="20"/>
          <w:szCs w:val="20"/>
        </w:rPr>
        <w:t xml:space="preserve">8.4.4 apresentar preços inexequíveis ou permanecerem acima do preço máximo definido para a contratação; </w:t>
      </w:r>
    </w:p>
    <w:p>
      <w:pPr>
        <w:pStyle w:val="Normal"/>
        <w:tabs>
          <w:tab w:val="clear" w:pos="708"/>
          <w:tab w:val="left" w:pos="517" w:leader="none"/>
        </w:tabs>
        <w:spacing w:lineRule="auto" w:line="240" w:before="57" w:after="57"/>
        <w:jc w:val="both"/>
        <w:rPr>
          <w:rFonts w:ascii="Verdana" w:hAnsi="Verdana"/>
          <w:sz w:val="20"/>
          <w:szCs w:val="20"/>
        </w:rPr>
      </w:pPr>
      <w:r>
        <w:rPr>
          <w:rFonts w:ascii="Verdana" w:hAnsi="Verdana"/>
          <w:sz w:val="20"/>
          <w:szCs w:val="20"/>
        </w:rPr>
        <w:t>8.4.5 apresentar desconformidade com quaisquer outras exigências deste Edital ou seus anexos, desde que insanável.</w:t>
      </w:r>
    </w:p>
    <w:p>
      <w:pPr>
        <w:pStyle w:val="Normal"/>
        <w:numPr>
          <w:ilvl w:val="1"/>
          <w:numId w:val="2"/>
        </w:numPr>
        <w:tabs>
          <w:tab w:val="clear" w:pos="708"/>
          <w:tab w:val="left" w:pos="517" w:leader="none"/>
        </w:tabs>
        <w:spacing w:lineRule="auto" w:line="240" w:before="57" w:after="57"/>
        <w:ind w:hanging="0" w:left="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08"/>
          <w:tab w:val="left" w:pos="517" w:leader="none"/>
        </w:tabs>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08"/>
          <w:tab w:val="left" w:pos="517" w:leader="none"/>
        </w:tabs>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8.7.1 É facultado ao pregoeiro prorrogar o prazo estabelecido, a partir de solicitação fundamentada feita no chat pelo licitante, antes de findo o prazo.</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40" w:before="57" w:after="57"/>
        <w:ind w:hanging="0" w:left="0"/>
        <w:jc w:val="both"/>
        <w:rPr>
          <w:rFonts w:ascii="Verdana" w:hAnsi="Verdana"/>
          <w:sz w:val="20"/>
          <w:szCs w:val="20"/>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40" w:before="57" w:after="57"/>
        <w:ind w:hanging="0" w:left="0"/>
        <w:jc w:val="both"/>
        <w:rPr>
          <w:rFonts w:ascii="Verdana" w:hAnsi="Verdana"/>
          <w:sz w:val="20"/>
          <w:szCs w:val="20"/>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240" w:before="57" w:after="57"/>
        <w:ind w:hanging="0" w:left="0"/>
        <w:jc w:val="both"/>
        <w:rPr>
          <w:rFonts w:ascii="Verdana" w:hAnsi="Verdana"/>
          <w:sz w:val="20"/>
          <w:szCs w:val="20"/>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40" w:before="0" w:after="0"/>
        <w:ind w:hanging="0" w:left="0"/>
        <w:jc w:val="both"/>
        <w:rPr>
          <w:rFonts w:ascii="Verdana" w:hAnsi="Verdana"/>
          <w:sz w:val="20"/>
          <w:szCs w:val="20"/>
        </w:rPr>
      </w:pPr>
      <w:r>
        <w:rPr>
          <w:rFonts w:cs="Arial" w:ascii="Verdana" w:hAnsi="Verdana"/>
          <w:color w:val="000000"/>
          <w:sz w:val="20"/>
          <w:szCs w:val="20"/>
        </w:rPr>
        <w:t>Encerrada a análise quanto à aceitação da proposta, o pregoeiro verificará a habilitação do licitante, observado o disposto neste Edital.</w:t>
      </w:r>
    </w:p>
    <w:p>
      <w:pPr>
        <w:pStyle w:val="Normal"/>
        <w:spacing w:lineRule="auto" w:line="240" w:before="0" w:after="0"/>
        <w:jc w:val="both"/>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lang w:eastAsia="en-US"/>
        </w:rPr>
        <w:t>DA HABILITAÇÃO</w:t>
      </w:r>
    </w:p>
    <w:p>
      <w:pPr>
        <w:pStyle w:val="Nivel01"/>
        <w:numPr>
          <w:ilvl w:val="1"/>
          <w:numId w:val="2"/>
        </w:numPr>
        <w:tabs>
          <w:tab w:val="clear" w:pos="567"/>
          <w:tab w:val="left" w:pos="517" w:leader="none"/>
          <w:tab w:val="left" w:pos="683" w:leader="none"/>
        </w:tabs>
        <w:spacing w:lineRule="auto" w:line="240" w:before="0" w:after="0"/>
        <w:ind w:hanging="0" w:left="0"/>
        <w:rPr>
          <w:rFonts w:ascii="Verdana" w:hAnsi="Verdana"/>
          <w:sz w:val="20"/>
          <w:szCs w:val="20"/>
        </w:rPr>
      </w:pPr>
      <w:r>
        <w:rPr>
          <w:rFonts w:cs="Arial" w:ascii="Verdana" w:hAnsi="Verdana"/>
          <w:b w:val="false"/>
          <w:sz w:val="20"/>
          <w:szCs w:val="2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40" w:before="57" w:after="57"/>
        <w:ind w:left="0"/>
        <w:contextualSpacing w:val="false"/>
        <w:jc w:val="both"/>
        <w:rPr>
          <w:rFonts w:ascii="Verdana" w:hAnsi="Verdana"/>
          <w:sz w:val="20"/>
          <w:szCs w:val="20"/>
        </w:rPr>
      </w:pPr>
      <w:r>
        <w:rPr>
          <w:rFonts w:cs="Arial" w:ascii="Verdana" w:hAnsi="Verdana"/>
          <w:sz w:val="20"/>
          <w:szCs w:val="20"/>
          <w:lang w:eastAsia="ar-SA"/>
        </w:rPr>
        <w:t>a) SICAF;</w:t>
      </w:r>
    </w:p>
    <w:p>
      <w:pPr>
        <w:pStyle w:val="ListParagraph"/>
        <w:spacing w:lineRule="auto" w:line="240" w:before="57" w:after="57"/>
        <w:ind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4">
        <w:r>
          <w:rPr>
            <w:rStyle w:val="ListLabel185"/>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40" w:before="57" w:after="57"/>
        <w:ind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5">
        <w:r>
          <w:rPr>
            <w:rStyle w:val="ListLabel185"/>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40" w:before="57" w:after="57"/>
        <w:ind w:left="0"/>
        <w:contextualSpacing w:val="false"/>
        <w:jc w:val="both"/>
        <w:rPr>
          <w:rFonts w:ascii="Verdana" w:hAnsi="Verdana"/>
          <w:sz w:val="20"/>
          <w:szCs w:val="20"/>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40" w:before="57" w:after="57"/>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6">
        <w:r>
          <w:rPr>
            <w:rStyle w:val="ListLabel186"/>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40" w:before="57" w:after="57"/>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7">
        <w:r>
          <w:rPr>
            <w:rStyle w:val="ListLabel185"/>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40" w:before="57" w:after="57"/>
        <w:jc w:val="both"/>
        <w:rPr>
          <w:rFonts w:ascii="Verdana" w:hAnsi="Verdana"/>
          <w:sz w:val="20"/>
          <w:szCs w:val="20"/>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40" w:before="57" w:after="57"/>
        <w:ind w:left="0"/>
        <w:contextualSpacing w:val="false"/>
        <w:jc w:val="both"/>
        <w:rPr>
          <w:rFonts w:ascii="Verdana" w:hAnsi="Verdana"/>
          <w:sz w:val="20"/>
          <w:szCs w:val="20"/>
        </w:rPr>
      </w:pPr>
      <w:r>
        <w:rPr>
          <w:rFonts w:cs="Arial" w:ascii="Verdana" w:hAnsi="Verdana"/>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40" w:before="57" w:after="57"/>
        <w:ind w:left="0"/>
        <w:contextualSpacing w:val="false"/>
        <w:jc w:val="both"/>
        <w:rPr>
          <w:rFonts w:ascii="Verdana" w:hAnsi="Verdana"/>
          <w:sz w:val="20"/>
          <w:szCs w:val="20"/>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40" w:before="57" w:after="57"/>
        <w:ind w:left="0"/>
        <w:contextualSpacing w:val="false"/>
        <w:jc w:val="both"/>
        <w:rPr>
          <w:rFonts w:ascii="Verdana" w:hAnsi="Verdana"/>
          <w:sz w:val="20"/>
          <w:szCs w:val="20"/>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40" w:before="57" w:after="57"/>
        <w:ind w:left="0"/>
        <w:contextualSpacing w:val="false"/>
        <w:jc w:val="both"/>
        <w:rPr>
          <w:rFonts w:ascii="Verdana" w:hAnsi="Verdana"/>
          <w:sz w:val="20"/>
          <w:szCs w:val="20"/>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40" w:before="57" w:after="57"/>
        <w:ind w:left="0"/>
        <w:contextualSpacing w:val="false"/>
        <w:jc w:val="both"/>
        <w:rPr>
          <w:rFonts w:ascii="Verdana" w:hAnsi="Verdana"/>
          <w:sz w:val="20"/>
          <w:szCs w:val="20"/>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08"/>
          <w:tab w:val="left" w:pos="567" w:leader="none"/>
        </w:tabs>
        <w:spacing w:lineRule="auto" w:line="240" w:before="57" w:after="57"/>
        <w:ind w:hanging="0" w:left="0"/>
        <w:contextualSpacing w:val="false"/>
        <w:jc w:val="both"/>
        <w:rPr>
          <w:rFonts w:ascii="Verdana" w:hAnsi="Verdana"/>
          <w:sz w:val="20"/>
          <w:szCs w:val="20"/>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numPr>
          <w:ilvl w:val="1"/>
          <w:numId w:val="2"/>
        </w:numPr>
        <w:spacing w:lineRule="auto" w:line="240" w:before="57" w:after="57"/>
        <w:ind w:hanging="0" w:left="0"/>
        <w:contextualSpacing/>
        <w:jc w:val="both"/>
        <w:rPr>
          <w:rFonts w:ascii="Verdana" w:hAnsi="Verdana"/>
          <w:sz w:val="20"/>
          <w:szCs w:val="20"/>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numPr>
          <w:ilvl w:val="1"/>
          <w:numId w:val="2"/>
        </w:numPr>
        <w:spacing w:lineRule="auto" w:line="240" w:before="57" w:after="57"/>
        <w:ind w:hanging="0" w:left="0"/>
        <w:contextualSpacing/>
        <w:jc w:val="both"/>
        <w:rPr>
          <w:rFonts w:ascii="Verdana" w:hAnsi="Verdana"/>
          <w:sz w:val="20"/>
          <w:szCs w:val="20"/>
        </w:rPr>
      </w:pPr>
      <w:r>
        <w:rPr>
          <w:rFonts w:cs="Arial" w:ascii="Verdana" w:hAnsi="Verdana"/>
          <w:color w:val="000000"/>
          <w:sz w:val="2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2"/>
        </w:numPr>
        <w:spacing w:lineRule="auto" w:line="240" w:before="57" w:after="57"/>
        <w:ind w:hanging="0" w:left="0"/>
        <w:contextualSpacing/>
        <w:jc w:val="both"/>
        <w:rPr>
          <w:rFonts w:ascii="Verdana" w:hAnsi="Verdana"/>
          <w:sz w:val="20"/>
          <w:szCs w:val="20"/>
        </w:rPr>
      </w:pPr>
      <w:r>
        <w:rPr>
          <w:rFonts w:cs="Arial" w:ascii="Verdana" w:hAnsi="Verdana"/>
          <w:color w:val="000000"/>
          <w:sz w:val="20"/>
          <w:szCs w:val="20"/>
        </w:rPr>
        <w:t>Não serão aceitos documentos de habilitação com indicação de CNPJ/CPF diferentes, salvo aqueles legalmente permitidos.</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Serão aceitos registros de CNPJ de licitante matriz e filial com diferenças de números de documentos pertinentes ao CND e ao CRF/FGTS, quando for comprovada a centralização do recolhimento dessas contribuições.</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b/>
          <w:bCs/>
          <w:color w:val="000000"/>
          <w:sz w:val="20"/>
          <w:szCs w:val="20"/>
        </w:rPr>
        <w:t>Habilitação jurídica:</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8">
        <w:r>
          <w:rPr>
            <w:rStyle w:val="ListLabel187"/>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40" w:before="0" w:after="0"/>
        <w:ind w:hanging="0" w:left="0"/>
        <w:contextualSpacing w:val="false"/>
        <w:jc w:val="both"/>
        <w:rPr>
          <w:rFonts w:ascii="Verdana" w:hAnsi="Verdana"/>
          <w:sz w:val="20"/>
          <w:szCs w:val="20"/>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40" w:before="0" w:after="0"/>
        <w:ind w:hanging="0" w:left="0"/>
        <w:contextualSpacing w:val="false"/>
        <w:jc w:val="both"/>
        <w:rPr>
          <w:rFonts w:ascii="Verdana" w:hAnsi="Verdana"/>
          <w:sz w:val="20"/>
          <w:szCs w:val="20"/>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40" w:before="57" w:after="57"/>
        <w:ind w:hanging="0" w:left="0"/>
        <w:jc w:val="both"/>
        <w:rPr>
          <w:rFonts w:ascii="Verdana" w:hAnsi="Verdana"/>
          <w:sz w:val="20"/>
          <w:szCs w:val="20"/>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40" w:before="57" w:after="57"/>
        <w:ind w:hanging="0" w:left="0"/>
        <w:jc w:val="both"/>
        <w:rPr>
          <w:rFonts w:ascii="Verdana" w:hAnsi="Verdana"/>
          <w:sz w:val="20"/>
          <w:szCs w:val="20"/>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40" w:before="57" w:after="57"/>
        <w:ind w:hanging="0" w:left="0"/>
        <w:jc w:val="both"/>
        <w:rPr>
          <w:rFonts w:ascii="Verdana" w:hAnsi="Verdana"/>
          <w:sz w:val="20"/>
          <w:szCs w:val="20"/>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40" w:before="57" w:after="57"/>
        <w:ind w:hanging="0" w:left="0"/>
        <w:jc w:val="both"/>
        <w:rPr>
          <w:rFonts w:ascii="Verdana" w:hAnsi="Verdana"/>
          <w:sz w:val="20"/>
          <w:szCs w:val="20"/>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40" w:before="57" w:after="57"/>
        <w:ind w:hanging="0" w:left="0"/>
        <w:jc w:val="both"/>
        <w:rPr>
          <w:rFonts w:ascii="Verdana" w:hAnsi="Verdana"/>
          <w:sz w:val="20"/>
          <w:szCs w:val="20"/>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40" w:before="57" w:after="57"/>
        <w:ind w:hanging="0" w:left="0"/>
        <w:jc w:val="both"/>
        <w:rPr>
          <w:rFonts w:ascii="Verdana" w:hAnsi="Verdana"/>
          <w:sz w:val="20"/>
          <w:szCs w:val="20"/>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40" w:before="0" w:after="0"/>
        <w:ind w:hanging="0" w:left="0"/>
        <w:jc w:val="both"/>
        <w:rPr>
          <w:rFonts w:ascii="Verdana" w:hAnsi="Verdana"/>
          <w:sz w:val="20"/>
          <w:szCs w:val="20"/>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lineRule="auto" w:line="240" w:before="0" w:after="0"/>
        <w:ind w:hanging="0" w:left="0"/>
        <w:contextualSpacing w:val="false"/>
        <w:jc w:val="both"/>
        <w:rPr>
          <w:rFonts w:ascii="Verdana" w:hAnsi="Verdana"/>
          <w:sz w:val="20"/>
          <w:szCs w:val="20"/>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08"/>
          <w:tab w:val="left" w:pos="850" w:leader="none"/>
        </w:tabs>
        <w:snapToGrid w:val="false"/>
        <w:spacing w:lineRule="auto" w:line="240" w:before="0" w:after="0"/>
        <w:ind w:hanging="0" w:left="0"/>
        <w:jc w:val="both"/>
        <w:rPr>
          <w:rFonts w:ascii="Verdana" w:hAnsi="Verdana"/>
          <w:sz w:val="20"/>
          <w:szCs w:val="20"/>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08"/>
          <w:tab w:val="left" w:pos="850" w:leader="none"/>
        </w:tabs>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08"/>
          <w:tab w:val="left" w:pos="850" w:leader="none"/>
        </w:tabs>
        <w:snapToGrid w:val="false"/>
        <w:spacing w:lineRule="auto" w:line="240" w:before="57" w:after="57"/>
        <w:ind w:hanging="0" w:left="0"/>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08"/>
          <w:tab w:val="left" w:pos="850" w:leader="none"/>
        </w:tabs>
        <w:snapToGrid w:val="false"/>
        <w:spacing w:lineRule="auto" w:line="240" w:before="0" w:after="0"/>
        <w:ind w:hanging="0" w:left="0"/>
        <w:jc w:val="both"/>
        <w:rPr>
          <w:rFonts w:ascii="Verdana" w:hAnsi="Verdana"/>
          <w:sz w:val="20"/>
          <w:szCs w:val="20"/>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lineRule="auto" w:line="240" w:before="0" w:after="0"/>
        <w:ind w:hanging="0" w:left="0"/>
        <w:contextualSpacing w:val="false"/>
        <w:jc w:val="both"/>
        <w:rPr>
          <w:rFonts w:ascii="Verdana" w:hAnsi="Verdana"/>
          <w:sz w:val="20"/>
          <w:szCs w:val="20"/>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Normal"/>
        <w:tabs>
          <w:tab w:val="clear" w:pos="708"/>
          <w:tab w:val="left" w:pos="850" w:leader="none"/>
        </w:tabs>
        <w:snapToGrid w:val="false"/>
        <w:spacing w:lineRule="auto" w:line="240" w:before="0" w:after="0"/>
        <w:jc w:val="both"/>
        <w:rPr>
          <w:rFonts w:ascii="Verdana" w:hAnsi="Verdana"/>
          <w:sz w:val="20"/>
          <w:szCs w:val="20"/>
        </w:rPr>
      </w:pPr>
      <w:r>
        <w:rPr>
          <w:rFonts w:cs="Arial" w:ascii="Verdana" w:hAnsi="Verdana"/>
          <w:bCs/>
          <w:iCs/>
          <w:color w:val="000000"/>
          <w:sz w:val="20"/>
          <w:szCs w:val="20"/>
        </w:rPr>
        <w:t>9.11.1. Certidão de Registro ou comprovante de inscrição da empresa e do(s) responsável (is) técnico(s) no Conselho Regional de Engenharia – CREA ou outro conselho de classe competente, da região da sede da empresa, em plena validade, e que seja de sua atribuição e competência os serviços objeto deste Estudo Técnico Preliminar. (de acordo com o Acórdão 01505/2020-4 - 1ª Câmara TCE/ES.</w:t>
      </w:r>
    </w:p>
    <w:p>
      <w:pPr>
        <w:pStyle w:val="Normal"/>
        <w:tabs>
          <w:tab w:val="clear" w:pos="708"/>
          <w:tab w:val="left" w:pos="850" w:leader="none"/>
        </w:tabs>
        <w:snapToGrid w:val="false"/>
        <w:spacing w:lineRule="auto" w:line="240" w:before="113" w:after="113"/>
        <w:jc w:val="both"/>
        <w:rPr>
          <w:rFonts w:ascii="Verdana" w:hAnsi="Verdana"/>
          <w:sz w:val="20"/>
          <w:szCs w:val="20"/>
        </w:rPr>
      </w:pPr>
      <w:r>
        <w:rPr>
          <w:rFonts w:cs="Arial" w:ascii="Verdana" w:hAnsi="Verdana"/>
          <w:bCs/>
          <w:iCs/>
          <w:color w:val="000000"/>
          <w:sz w:val="20"/>
          <w:szCs w:val="20"/>
        </w:rPr>
        <w:t>9.11.2. Comprovação da qualificação técnico-operacional e qualificação técnico-profissional da licitante, com no mínimo 1 (um) ano de experiência mediante apresentação de atestado(s) fornecido(s) por pessoa(s) jurídica(s) de direito público ou privado, registrado e acompanhado da CAO (Certidão de Acervo Operacional) demonstrando aptidão para desempenho de atividades pertinentes e compatíveis em características, quantidades e prazos com o objeto do presente ETP / Termo de Referência, comprovando que executa ou executou os serviços de: (tal solicitação encontra-se amparada na lei 14.133/2021 no art. 67, II e § 5º).</w:t>
      </w:r>
    </w:p>
    <w:p>
      <w:pPr>
        <w:pStyle w:val="Normal"/>
        <w:tabs>
          <w:tab w:val="clear" w:pos="708"/>
          <w:tab w:val="left" w:pos="850" w:leader="none"/>
        </w:tabs>
        <w:snapToGrid w:val="false"/>
        <w:spacing w:lineRule="auto" w:line="240" w:before="113" w:after="113"/>
        <w:jc w:val="both"/>
        <w:rPr>
          <w:rFonts w:ascii="Verdana" w:hAnsi="Verdana"/>
          <w:sz w:val="20"/>
          <w:szCs w:val="20"/>
        </w:rPr>
      </w:pPr>
      <w:r>
        <w:rPr>
          <w:rFonts w:cs="Arial" w:ascii="Verdana" w:hAnsi="Verdana"/>
          <w:bCs/>
          <w:iCs/>
          <w:color w:val="000000"/>
          <w:sz w:val="20"/>
          <w:szCs w:val="20"/>
        </w:rPr>
        <w:t>9.11.3. Para fins de qualificação técnico-operacional, será exigida a apresentação de atestado devidamente registrado no CREA, comprovando a execução de, no mínimo, 3% (três por cento) do quantitativo total de câmeras.</w:t>
      </w:r>
    </w:p>
    <w:p>
      <w:pPr>
        <w:pStyle w:val="Normal"/>
        <w:tabs>
          <w:tab w:val="clear" w:pos="708"/>
          <w:tab w:val="left" w:pos="850" w:leader="none"/>
        </w:tabs>
        <w:snapToGrid w:val="false"/>
        <w:spacing w:lineRule="auto" w:line="240" w:before="113" w:after="113"/>
        <w:jc w:val="both"/>
        <w:rPr>
          <w:rFonts w:ascii="Verdana" w:hAnsi="Verdana"/>
          <w:sz w:val="20"/>
          <w:szCs w:val="20"/>
        </w:rPr>
      </w:pPr>
      <w:r>
        <w:rPr>
          <w:rFonts w:cs="Arial" w:ascii="Verdana" w:hAnsi="Verdana"/>
          <w:bCs/>
          <w:iCs/>
          <w:color w:val="000000"/>
          <w:sz w:val="20"/>
          <w:szCs w:val="20"/>
        </w:rPr>
        <w:t>9.11.4. Autorização para Exploração de Serviço de Comunicação Multimídia – SCM da Anatel (Agência Nacional de Telecomunicações).</w:t>
      </w:r>
    </w:p>
    <w:p>
      <w:pPr>
        <w:pStyle w:val="Normal"/>
        <w:tabs>
          <w:tab w:val="clear" w:pos="708"/>
          <w:tab w:val="left" w:pos="850" w:leader="none"/>
        </w:tabs>
        <w:snapToGrid w:val="false"/>
        <w:spacing w:lineRule="auto" w:line="240" w:before="113" w:after="113"/>
        <w:jc w:val="both"/>
        <w:rPr>
          <w:rFonts w:ascii="Verdana" w:hAnsi="Verdana"/>
          <w:sz w:val="20"/>
          <w:szCs w:val="20"/>
        </w:rPr>
      </w:pPr>
      <w:r>
        <w:rPr>
          <w:rFonts w:cs="Arial" w:ascii="Verdana" w:hAnsi="Verdana"/>
          <w:bCs/>
          <w:iCs/>
          <w:color w:val="000000"/>
          <w:sz w:val="20"/>
          <w:szCs w:val="20"/>
        </w:rPr>
        <w:t>9.11.5. Autorização de uso da(s) radiofrequência(s) compatíveis com 4G/5G em caráter primário ou secundário - da Anatel (Agência Nacional de Telecomunicações).</w:t>
      </w:r>
    </w:p>
    <w:p>
      <w:pPr>
        <w:pStyle w:val="Normal"/>
        <w:tabs>
          <w:tab w:val="clear" w:pos="708"/>
          <w:tab w:val="left" w:pos="850" w:leader="none"/>
        </w:tabs>
        <w:snapToGrid w:val="false"/>
        <w:spacing w:lineRule="auto" w:line="240" w:before="113" w:after="113"/>
        <w:jc w:val="both"/>
        <w:rPr>
          <w:rFonts w:ascii="Verdana" w:hAnsi="Verdana"/>
          <w:sz w:val="20"/>
          <w:szCs w:val="20"/>
        </w:rPr>
      </w:pPr>
      <w:r>
        <w:rPr>
          <w:rFonts w:cs="Arial" w:ascii="Verdana" w:hAnsi="Verdana"/>
          <w:bCs/>
          <w:iCs/>
          <w:color w:val="000000"/>
          <w:sz w:val="20"/>
          <w:szCs w:val="20"/>
        </w:rPr>
        <w:t>9.11.6. Autorização para Exploração de Serviço Móvel Pessoal - SMP ou Termo de homologação de Contrato para Exploração de Serviço Móvel Pessoal - SMP por meio de Rede Virtual ou Credenciada (Resolução n.º 550, de 22 de novembro de 2010).</w:t>
      </w:r>
    </w:p>
    <w:p>
      <w:pPr>
        <w:pStyle w:val="Normal"/>
        <w:tabs>
          <w:tab w:val="clear" w:pos="708"/>
          <w:tab w:val="left" w:pos="850" w:leader="none"/>
        </w:tabs>
        <w:snapToGrid w:val="false"/>
        <w:spacing w:lineRule="auto" w:line="240" w:before="0" w:after="0"/>
        <w:jc w:val="both"/>
        <w:rPr>
          <w:rFonts w:ascii="Verdana" w:hAnsi="Verdana"/>
          <w:sz w:val="20"/>
          <w:szCs w:val="20"/>
        </w:rPr>
      </w:pPr>
      <w:r>
        <w:rPr>
          <w:rFonts w:cs="Arial" w:ascii="Verdana" w:hAnsi="Verdana"/>
          <w:bCs/>
          <w:iCs/>
          <w:color w:val="000000"/>
          <w:sz w:val="20"/>
          <w:szCs w:val="20"/>
        </w:rPr>
        <w:t>9.11.7. Certidões de Acervo Técnico – CAT do profissional responsável técnico indicando que os serviços executados sejam compatíveis com o objeto da licitação. A CAT deverá ser devidamente averbada pelo conselho competente e estar acompanhada do respectivo atestado de capacidade técnica.</w:t>
      </w:r>
    </w:p>
    <w:p>
      <w:pPr>
        <w:pStyle w:val="ListParagraph"/>
        <w:tabs>
          <w:tab w:val="clear" w:pos="708"/>
          <w:tab w:val="left" w:pos="517" w:leader="none"/>
        </w:tabs>
        <w:spacing w:lineRule="auto" w:line="240"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color w:val="auto"/>
          <w:sz w:val="20"/>
          <w:szCs w:val="20"/>
          <w:lang w:eastAsia="en-US"/>
        </w:rPr>
        <w:t xml:space="preserve">DO </w:t>
      </w:r>
      <w:r>
        <w:rPr>
          <w:rFonts w:cs="Arial" w:ascii="Verdana" w:hAnsi="Verdana"/>
          <w:color w:val="auto"/>
          <w:sz w:val="20"/>
          <w:szCs w:val="20"/>
        </w:rPr>
        <w:t>ENCAMINHAMENTO</w:t>
      </w:r>
      <w:r>
        <w:rPr>
          <w:rFonts w:cs="Arial" w:ascii="Verdana" w:hAnsi="Verdana"/>
          <w:color w:val="auto"/>
          <w:sz w:val="20"/>
          <w:szCs w:val="20"/>
          <w:lang w:eastAsia="en-US"/>
        </w:rPr>
        <w:t xml:space="preserve"> DA PROPOSTA VENCEDORA</w:t>
      </w:r>
    </w:p>
    <w:p>
      <w:pPr>
        <w:pStyle w:val="ListParagraph"/>
        <w:numPr>
          <w:ilvl w:val="1"/>
          <w:numId w:val="2"/>
        </w:numPr>
        <w:tabs>
          <w:tab w:val="clear" w:pos="708"/>
          <w:tab w:val="left" w:pos="617" w:leader="none"/>
        </w:tabs>
        <w:spacing w:lineRule="auto" w:line="240" w:before="0" w:after="0"/>
        <w:ind w:hanging="0" w:left="0"/>
        <w:contextualSpacing w:val="false"/>
        <w:jc w:val="both"/>
        <w:rPr>
          <w:rFonts w:ascii="Verdana" w:hAnsi="Verdana"/>
          <w:sz w:val="20"/>
          <w:szCs w:val="20"/>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02 (duas) horas</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08"/>
          <w:tab w:val="left" w:pos="617" w:leader="none"/>
          <w:tab w:val="left" w:pos="900" w:leader="none"/>
        </w:tabs>
        <w:spacing w:lineRule="auto" w:line="240" w:before="57" w:after="57"/>
        <w:ind w:hanging="0" w:left="0"/>
        <w:jc w:val="both"/>
        <w:rPr>
          <w:rFonts w:ascii="Verdana" w:hAnsi="Verdana"/>
          <w:sz w:val="20"/>
          <w:szCs w:val="20"/>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08"/>
          <w:tab w:val="left" w:pos="617" w:leader="none"/>
          <w:tab w:val="left" w:pos="900" w:leader="none"/>
        </w:tabs>
        <w:spacing w:lineRule="auto" w:line="240" w:before="57" w:after="57"/>
        <w:ind w:hanging="0" w:left="0"/>
        <w:jc w:val="both"/>
        <w:rPr>
          <w:rFonts w:ascii="Verdana" w:hAnsi="Verdana"/>
          <w:sz w:val="20"/>
          <w:szCs w:val="20"/>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08"/>
          <w:tab w:val="left" w:pos="617" w:leader="none"/>
          <w:tab w:val="left" w:pos="900" w:leader="none"/>
        </w:tabs>
        <w:spacing w:lineRule="auto" w:line="240" w:before="57" w:after="57"/>
        <w:ind w:hanging="0" w:left="0"/>
        <w:jc w:val="both"/>
        <w:rPr>
          <w:rFonts w:ascii="Verdana" w:hAnsi="Verdana"/>
          <w:sz w:val="20"/>
          <w:szCs w:val="20"/>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08"/>
          <w:tab w:val="left" w:pos="850" w:leader="none"/>
        </w:tabs>
        <w:spacing w:lineRule="auto" w:line="240" w:before="57" w:after="57"/>
        <w:ind w:hanging="0" w:left="0"/>
        <w:jc w:val="both"/>
        <w:rPr>
          <w:rFonts w:ascii="Verdana" w:hAnsi="Verdana"/>
          <w:sz w:val="20"/>
          <w:szCs w:val="20"/>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08"/>
          <w:tab w:val="left" w:pos="850" w:leader="none"/>
        </w:tabs>
        <w:spacing w:lineRule="auto" w:line="240" w:before="57" w:after="57"/>
        <w:ind w:hanging="0" w:left="0"/>
        <w:jc w:val="both"/>
        <w:rPr>
          <w:rFonts w:ascii="Verdana" w:hAnsi="Verdana"/>
          <w:sz w:val="20"/>
          <w:szCs w:val="20"/>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ListParagraph"/>
        <w:spacing w:lineRule="auto" w:line="240"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lang w:eastAsia="en-US"/>
        </w:rPr>
        <w:t>DOS RECURSOS</w:t>
      </w:r>
    </w:p>
    <w:p>
      <w:pPr>
        <w:pStyle w:val="ListParagraph"/>
        <w:numPr>
          <w:ilvl w:val="1"/>
          <w:numId w:val="2"/>
        </w:numPr>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08"/>
          <w:tab w:val="left" w:pos="850" w:leader="none"/>
        </w:tabs>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08"/>
          <w:tab w:val="left" w:pos="850" w:leader="none"/>
        </w:tabs>
        <w:snapToGrid w:val="false"/>
        <w:spacing w:lineRule="auto" w:line="240" w:before="57" w:after="57"/>
        <w:ind w:hanging="0" w:left="0"/>
        <w:jc w:val="both"/>
        <w:rPr>
          <w:rFonts w:ascii="Verdana" w:hAnsi="Verdana"/>
          <w:sz w:val="20"/>
          <w:szCs w:val="20"/>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08"/>
          <w:tab w:val="left" w:pos="850" w:leader="none"/>
        </w:tabs>
        <w:snapToGrid w:val="false"/>
        <w:spacing w:lineRule="auto" w:line="240" w:before="57" w:after="57"/>
        <w:ind w:hanging="0" w:left="0"/>
        <w:jc w:val="both"/>
        <w:rPr>
          <w:rFonts w:ascii="Verdana" w:hAnsi="Verdana"/>
          <w:sz w:val="20"/>
          <w:szCs w:val="20"/>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Os autos do processo permanecerão com vista franqueada aos interessados, no endereço constante neste Edital.</w:t>
      </w:r>
    </w:p>
    <w:p>
      <w:pPr>
        <w:pStyle w:val="ListParagraph"/>
        <w:spacing w:lineRule="auto" w:line="240" w:before="57" w:after="57"/>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57" w:after="57"/>
        <w:ind w:hanging="0" w:left="0"/>
        <w:rPr>
          <w:rFonts w:ascii="Verdana" w:hAnsi="Verdana"/>
          <w:sz w:val="20"/>
          <w:szCs w:val="20"/>
        </w:rPr>
      </w:pPr>
      <w:r>
        <w:rPr>
          <w:rFonts w:cs="Arial" w:ascii="Verdana" w:hAnsi="Verdana"/>
          <w:sz w:val="20"/>
          <w:szCs w:val="20"/>
          <w:lang w:eastAsia="en-US"/>
        </w:rPr>
        <w:t>DA REABERTURA DA SESSÃO PÚBLICA</w:t>
      </w:r>
    </w:p>
    <w:p>
      <w:pPr>
        <w:pStyle w:val="Nivel01"/>
        <w:keepNext w:val="false"/>
        <w:keepLines w:val="false"/>
        <w:numPr>
          <w:ilvl w:val="1"/>
          <w:numId w:val="2"/>
        </w:numPr>
        <w:spacing w:lineRule="auto" w:line="240" w:before="57" w:after="57"/>
        <w:ind w:hanging="0" w:left="0"/>
        <w:rPr>
          <w:rFonts w:ascii="Verdana" w:hAnsi="Verdana"/>
          <w:sz w:val="20"/>
          <w:szCs w:val="20"/>
        </w:rPr>
      </w:pPr>
      <w:r>
        <w:rPr>
          <w:rFonts w:cs="Arial" w:ascii="Verdana" w:hAnsi="Verdana"/>
          <w:b w:val="false"/>
          <w:bCs w:val="false"/>
          <w:color w:val="auto"/>
          <w:sz w:val="20"/>
          <w:szCs w:val="20"/>
        </w:rPr>
        <w:t>A sessão pública poderá ser reaberta:</w:t>
      </w:r>
    </w:p>
    <w:p>
      <w:pPr>
        <w:pStyle w:val="Nivel01"/>
        <w:keepNext w:val="false"/>
        <w:keepLines w:val="false"/>
        <w:numPr>
          <w:ilvl w:val="2"/>
          <w:numId w:val="2"/>
        </w:numPr>
        <w:tabs>
          <w:tab w:val="left" w:pos="567" w:leader="none"/>
          <w:tab w:val="left" w:pos="850" w:leader="none"/>
        </w:tabs>
        <w:spacing w:lineRule="auto" w:line="240" w:before="57" w:after="57"/>
        <w:ind w:hanging="0" w:left="0"/>
        <w:rPr>
          <w:rFonts w:ascii="Verdana" w:hAnsi="Verdana"/>
          <w:sz w:val="20"/>
          <w:szCs w:val="20"/>
        </w:rPr>
      </w:pPr>
      <w:r>
        <w:rPr>
          <w:rFonts w:cs="Arial" w:ascii="Verdana" w:hAnsi="Verdana"/>
          <w:b w:val="false"/>
          <w:bCs w:val="false"/>
          <w:color w:val="auto"/>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lineRule="auto" w:line="240" w:before="57" w:after="57"/>
        <w:ind w:hanging="0" w:left="0"/>
        <w:rPr>
          <w:rFonts w:ascii="Verdana" w:hAnsi="Verdana"/>
          <w:sz w:val="20"/>
          <w:szCs w:val="20"/>
        </w:rPr>
      </w:pPr>
      <w:r>
        <w:rPr>
          <w:rFonts w:cs="Arial" w:ascii="Verdana" w:hAnsi="Verdana"/>
          <w:b w:val="false"/>
          <w:bCs w:val="false"/>
          <w:color w:val="auto"/>
          <w:sz w:val="20"/>
          <w:szCs w:val="2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lineRule="auto" w:line="240" w:before="57" w:after="57"/>
        <w:ind w:hanging="0" w:left="0"/>
        <w:rPr>
          <w:rFonts w:ascii="Verdana" w:hAnsi="Verdana"/>
          <w:sz w:val="20"/>
          <w:szCs w:val="20"/>
        </w:rPr>
      </w:pPr>
      <w:r>
        <w:rPr>
          <w:rFonts w:cs="Arial" w:ascii="Verdana" w:hAnsi="Verdana"/>
          <w:b w:val="false"/>
          <w:bCs w:val="false"/>
          <w:color w:val="auto"/>
          <w:sz w:val="20"/>
          <w:szCs w:val="20"/>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lineRule="auto" w:line="240" w:before="57" w:after="57"/>
        <w:ind w:hanging="0" w:left="0"/>
        <w:rPr>
          <w:rFonts w:ascii="Verdana" w:hAnsi="Verdana"/>
          <w:sz w:val="20"/>
          <w:szCs w:val="20"/>
        </w:rPr>
      </w:pPr>
      <w:r>
        <w:rPr>
          <w:rFonts w:cs="Arial" w:ascii="Verdana" w:hAnsi="Verdana"/>
          <w:b w:val="false"/>
          <w:bCs w:val="false"/>
          <w:color w:val="auto"/>
          <w:sz w:val="20"/>
          <w:szCs w:val="20"/>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lineRule="auto" w:line="240" w:before="0" w:after="0"/>
        <w:ind w:hanging="0" w:left="0"/>
        <w:rPr>
          <w:rFonts w:ascii="Verdana" w:hAnsi="Verdana"/>
          <w:sz w:val="20"/>
          <w:szCs w:val="20"/>
        </w:rPr>
      </w:pPr>
      <w:r>
        <w:rPr>
          <w:rFonts w:cs="Arial" w:ascii="Verdana" w:hAnsi="Verdana"/>
          <w:b w:val="false"/>
          <w:bCs w:val="false"/>
          <w:color w:val="auto"/>
          <w:sz w:val="20"/>
          <w:szCs w:val="20"/>
        </w:rPr>
        <w:t>A convocação feita por e-mail dar-se-á de acordo com os dados contidos no SICAF, sendo responsabilidade do licitante manter seus dados cadastrais atualizados.</w:t>
      </w:r>
    </w:p>
    <w:p>
      <w:pPr>
        <w:pStyle w:val="Normal"/>
        <w:tabs>
          <w:tab w:val="clear" w:pos="708"/>
          <w:tab w:val="left" w:pos="567" w:leader="none"/>
          <w:tab w:val="left" w:pos="850" w:leader="none"/>
        </w:tabs>
        <w:spacing w:lineRule="auto" w:line="240" w:before="0" w:after="0"/>
        <w:rPr>
          <w:rFonts w:ascii="Verdana" w:hAnsi="Verdana" w:cs="Arial"/>
          <w:sz w:val="20"/>
          <w:szCs w:val="20"/>
        </w:rPr>
      </w:pPr>
      <w:r>
        <w:rPr>
          <w:rFonts w:cs="Arial" w:ascii="Verdana" w:hAnsi="Verdana"/>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rPr>
        <w:t xml:space="preserve">DA ADJUDICAÇÃO E HOMOLOGAÇÃO </w:t>
      </w:r>
    </w:p>
    <w:p>
      <w:pPr>
        <w:pStyle w:val="ListParagraph"/>
        <w:numPr>
          <w:ilvl w:val="1"/>
          <w:numId w:val="2"/>
        </w:numPr>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ListParagraph"/>
        <w:spacing w:lineRule="auto" w:line="240" w:before="0" w:after="0"/>
        <w:ind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57" w:right="57"/>
        <w:rPr>
          <w:rFonts w:ascii="Verdana" w:hAnsi="Verdana"/>
          <w:sz w:val="20"/>
          <w:szCs w:val="20"/>
        </w:rPr>
      </w:pPr>
      <w:r>
        <w:rPr>
          <w:rFonts w:cs="Arial" w:ascii="Verdana" w:hAnsi="Verdana"/>
          <w:color w:val="auto"/>
          <w:sz w:val="20"/>
          <w:szCs w:val="20"/>
        </w:rPr>
        <w:t xml:space="preserve">DA GARANTIA DE EXECUÇÃO </w:t>
      </w:r>
    </w:p>
    <w:p>
      <w:pPr>
        <w:pStyle w:val="ListParagraph"/>
        <w:numPr>
          <w:ilvl w:val="1"/>
          <w:numId w:val="2"/>
        </w:numPr>
        <w:spacing w:lineRule="auto" w:line="240" w:before="0" w:after="0"/>
        <w:ind w:hanging="0" w:left="57" w:right="57"/>
        <w:contextualSpacing w:val="false"/>
        <w:jc w:val="both"/>
        <w:rPr>
          <w:rFonts w:ascii="Verdana" w:hAnsi="Verdana"/>
          <w:sz w:val="20"/>
          <w:szCs w:val="20"/>
        </w:rPr>
      </w:pPr>
      <w:r>
        <w:rPr>
          <w:rFonts w:cs="Arial" w:ascii="Verdana" w:hAnsi="Verdana"/>
          <w:sz w:val="20"/>
          <w:szCs w:val="20"/>
        </w:rPr>
        <w:t>Não haverá exigência de garantia de execução para a presente contratação.</w:t>
      </w:r>
    </w:p>
    <w:p>
      <w:pPr>
        <w:pStyle w:val="ListParagraph"/>
        <w:numPr>
          <w:ilvl w:val="2"/>
          <w:numId w:val="2"/>
        </w:numPr>
        <w:tabs>
          <w:tab w:val="clear" w:pos="708"/>
          <w:tab w:val="left" w:pos="850" w:leader="none"/>
        </w:tabs>
        <w:spacing w:lineRule="auto" w:line="240" w:before="113" w:after="113"/>
        <w:ind w:hanging="0" w:left="57" w:right="57"/>
        <w:contextualSpacing w:val="false"/>
        <w:jc w:val="both"/>
        <w:rPr>
          <w:rFonts w:ascii="Verdana" w:hAnsi="Verdana"/>
          <w:sz w:val="20"/>
          <w:szCs w:val="20"/>
        </w:rPr>
      </w:pPr>
      <w:r>
        <w:rPr>
          <w:rFonts w:cs="Arial" w:ascii="Verdana" w:hAnsi="Verdana"/>
          <w:sz w:val="20"/>
          <w:szCs w:val="20"/>
        </w:rPr>
        <w:t>A eventual e futura contratação não trata riscos à administração visto que se trata de registro de preços para aquisição eventual de bens, que ocorrerá, após a emissão da nota de empenho, em entrega única; e</w:t>
      </w:r>
    </w:p>
    <w:p>
      <w:pPr>
        <w:pStyle w:val="ListParagraph"/>
        <w:numPr>
          <w:ilvl w:val="2"/>
          <w:numId w:val="2"/>
        </w:numPr>
        <w:tabs>
          <w:tab w:val="clear" w:pos="708"/>
          <w:tab w:val="left" w:pos="850" w:leader="none"/>
        </w:tabs>
        <w:spacing w:lineRule="auto" w:line="240" w:before="0" w:after="0"/>
        <w:ind w:hanging="0" w:left="57" w:right="57"/>
        <w:contextualSpacing w:val="false"/>
        <w:jc w:val="both"/>
        <w:rPr>
          <w:rFonts w:ascii="Verdana" w:hAnsi="Verdana"/>
          <w:sz w:val="20"/>
          <w:szCs w:val="20"/>
        </w:rPr>
      </w:pPr>
      <w:r>
        <w:rPr>
          <w:rFonts w:cs="Arial" w:ascii="Verdana" w:hAnsi="Verdana"/>
          <w:color w:val="000000"/>
          <w:sz w:val="20"/>
          <w:szCs w:val="20"/>
        </w:rPr>
        <w:t>O pagamento à contratada só ocorrerá após o recebimento definitivo e o atendimento a todas as condições previstas no Edital.</w:t>
      </w:r>
    </w:p>
    <w:p>
      <w:pPr>
        <w:pStyle w:val="ListParagraph"/>
        <w:tabs>
          <w:tab w:val="clear" w:pos="708"/>
          <w:tab w:val="left" w:pos="850" w:leader="none"/>
        </w:tabs>
        <w:spacing w:lineRule="auto" w:line="240" w:before="0" w:after="0"/>
        <w:ind w:left="57" w:right="57"/>
        <w:contextualSpacing w:val="false"/>
        <w:jc w:val="both"/>
        <w:rPr>
          <w:rFonts w:ascii="Verdana" w:hAnsi="Verdana" w:cs="Arial"/>
          <w:color w:val="000000"/>
          <w:sz w:val="20"/>
          <w:szCs w:val="20"/>
        </w:rPr>
      </w:pPr>
      <w:r>
        <w:rPr>
          <w:rFonts w:cs="Arial" w:ascii="Verdana" w:hAnsi="Verdana"/>
          <w:color w:val="000000"/>
          <w:sz w:val="20"/>
          <w:szCs w:val="20"/>
        </w:rPr>
      </w:r>
    </w:p>
    <w:p>
      <w:pPr>
        <w:pStyle w:val="ListParagraph"/>
        <w:tabs>
          <w:tab w:val="clear" w:pos="708"/>
          <w:tab w:val="left" w:pos="850" w:leader="none"/>
        </w:tabs>
        <w:spacing w:lineRule="auto" w:line="240" w:before="0" w:after="0"/>
        <w:ind w:left="0"/>
        <w:contextualSpacing w:val="false"/>
        <w:jc w:val="both"/>
        <w:rPr>
          <w:rFonts w:ascii="Verdana" w:hAnsi="Verdana"/>
          <w:sz w:val="20"/>
          <w:szCs w:val="20"/>
        </w:rPr>
      </w:pPr>
      <w:r>
        <w:rPr>
          <w:rFonts w:cs="Arial" w:ascii="Verdana" w:hAnsi="Verdana"/>
          <w:b/>
          <w:bCs/>
          <w:sz w:val="20"/>
          <w:szCs w:val="20"/>
        </w:rPr>
        <w:t>15 DA ATA DE REGISTRO DE PREÇOS</w:t>
      </w:r>
    </w:p>
    <w:p>
      <w:pPr>
        <w:pStyle w:val="ListParagraph"/>
        <w:tabs>
          <w:tab w:val="clear" w:pos="708"/>
          <w:tab w:val="left" w:pos="850" w:leader="none"/>
        </w:tabs>
        <w:spacing w:lineRule="auto" w:line="240" w:before="0" w:after="0"/>
        <w:ind w:left="57" w:right="57"/>
        <w:contextualSpacing w:val="false"/>
        <w:jc w:val="both"/>
        <w:rPr>
          <w:rFonts w:ascii="Verdana" w:hAnsi="Verdana"/>
          <w:sz w:val="20"/>
          <w:szCs w:val="20"/>
        </w:rPr>
      </w:pPr>
      <w:r>
        <w:rPr>
          <w:rFonts w:cs="Arial" w:ascii="Verdana" w:hAnsi="Verdana"/>
          <w:sz w:val="20"/>
          <w:szCs w:val="20"/>
        </w:rPr>
        <w:t xml:space="preserve">15.1 Homologado o resultado da licitação, terá o adjudicatário o prazo de </w:t>
      </w:r>
      <w:r>
        <w:rPr>
          <w:rFonts w:cs="Arial" w:ascii="Verdana" w:hAnsi="Verdana"/>
          <w:b/>
          <w:bCs/>
          <w:sz w:val="20"/>
          <w:szCs w:val="20"/>
        </w:rPr>
        <w:t>05 (</w:t>
      </w:r>
      <w:r>
        <w:rPr>
          <w:rFonts w:eastAsia="MS Gothic" w:cs="Arial" w:ascii="Verdana" w:hAnsi="Verdana"/>
          <w:b/>
          <w:bCs/>
          <w:sz w:val="20"/>
          <w:szCs w:val="20"/>
        </w:rPr>
        <w:t>cinco</w:t>
      </w:r>
      <w:r>
        <w:rPr>
          <w:rFonts w:cs="Arial" w:ascii="Verdana" w:hAnsi="Verdana"/>
          <w:b/>
          <w:bCs/>
          <w:sz w:val="20"/>
          <w:szCs w:val="20"/>
        </w:rPr>
        <w:t>) dias</w:t>
      </w:r>
      <w:r>
        <w:rPr>
          <w:rFonts w:cs="Arial" w:ascii="Verdana" w:hAnsi="Verdana"/>
          <w:sz w:val="20"/>
          <w:szCs w:val="20"/>
        </w:rPr>
        <w:t>, contados a partir da data de sua convocação, para assinar a Ata de Registro de Preços, cujo prazo de validade encontra-se nela fixado, sob pena de decair do direito à contratação, sem prejuízo das sanções previstas neste Edital.</w:t>
      </w:r>
    </w:p>
    <w:p>
      <w:pPr>
        <w:pStyle w:val="ListParagraph"/>
        <w:tabs>
          <w:tab w:val="clear" w:pos="708"/>
          <w:tab w:val="left" w:pos="850" w:leader="none"/>
        </w:tabs>
        <w:spacing w:lineRule="auto" w:line="240" w:before="113" w:after="113"/>
        <w:ind w:left="57" w:right="57"/>
        <w:contextualSpacing w:val="false"/>
        <w:jc w:val="both"/>
        <w:rPr>
          <w:rFonts w:ascii="Verdana" w:hAnsi="Verdana"/>
          <w:sz w:val="20"/>
          <w:szCs w:val="20"/>
        </w:rPr>
      </w:pPr>
      <w:r>
        <w:rPr>
          <w:rFonts w:cs="Arial" w:ascii="Verdana" w:hAnsi="Verdana"/>
          <w:sz w:val="20"/>
          <w:szCs w:val="20"/>
        </w:rPr>
        <w:t xml:space="preserve">15.2 Alternativamente à convocação para comparecer perante o órgão ou entidade para a assinatura da Ata de Registro de Preços, a Administração poderá encaminhá-la para assinatura, </w:t>
      </w:r>
      <w:r>
        <w:rPr>
          <w:rFonts w:cs="Arial" w:ascii="Verdana" w:hAnsi="Verdana"/>
          <w:iCs/>
          <w:sz w:val="20"/>
          <w:szCs w:val="20"/>
        </w:rPr>
        <w:t xml:space="preserve">mediante correspondência postal com aviso de recebimento (AR) ou meio eletrônico, para que seja assinada e devolvida no prazo de </w:t>
      </w:r>
      <w:r>
        <w:rPr>
          <w:rFonts w:cs="Arial" w:ascii="Verdana" w:hAnsi="Verdana"/>
          <w:b/>
          <w:bCs/>
          <w:iCs/>
          <w:sz w:val="20"/>
          <w:szCs w:val="20"/>
        </w:rPr>
        <w:t>05 (cinco) dias</w:t>
      </w:r>
      <w:r>
        <w:rPr>
          <w:rFonts w:cs="Arial" w:ascii="Verdana" w:hAnsi="Verdana"/>
          <w:iCs/>
          <w:sz w:val="20"/>
          <w:szCs w:val="20"/>
        </w:rPr>
        <w:t>, a contar da data de seu recebimento.</w:t>
      </w:r>
    </w:p>
    <w:p>
      <w:pPr>
        <w:pStyle w:val="ListParagraph"/>
        <w:tabs>
          <w:tab w:val="clear" w:pos="708"/>
          <w:tab w:val="left" w:pos="850" w:leader="none"/>
        </w:tabs>
        <w:spacing w:lineRule="auto" w:line="240" w:before="113" w:after="113"/>
        <w:ind w:left="57" w:right="57"/>
        <w:contextualSpacing w:val="false"/>
        <w:jc w:val="both"/>
        <w:rPr>
          <w:rFonts w:ascii="Verdana" w:hAnsi="Verdana"/>
          <w:sz w:val="20"/>
          <w:szCs w:val="20"/>
        </w:rPr>
      </w:pPr>
      <w:r>
        <w:rPr>
          <w:rFonts w:cs="Arial" w:ascii="Verdana" w:hAnsi="Verdana"/>
          <w:iCs/>
          <w:sz w:val="20"/>
          <w:szCs w:val="20"/>
        </w:rPr>
        <w:t xml:space="preserve">15.3 </w:t>
      </w:r>
      <w:r>
        <w:rPr>
          <w:rFonts w:cs="Arial" w:ascii="Verdana" w:hAnsi="Verdana"/>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pPr>
        <w:pStyle w:val="ListParagraph"/>
        <w:tabs>
          <w:tab w:val="clear" w:pos="708"/>
          <w:tab w:val="left" w:pos="850" w:leader="none"/>
        </w:tabs>
        <w:spacing w:lineRule="auto" w:line="240" w:before="113" w:after="113"/>
        <w:ind w:left="57" w:right="57"/>
        <w:contextualSpacing w:val="false"/>
        <w:jc w:val="both"/>
        <w:rPr>
          <w:rFonts w:ascii="Verdana" w:hAnsi="Verdana"/>
          <w:sz w:val="20"/>
          <w:szCs w:val="20"/>
        </w:rPr>
      </w:pPr>
      <w:r>
        <w:rPr>
          <w:rFonts w:cs="Arial" w:ascii="Verdana" w:hAnsi="Verdana"/>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pPr>
        <w:pStyle w:val="ListParagraph"/>
        <w:tabs>
          <w:tab w:val="clear" w:pos="708"/>
          <w:tab w:val="left" w:pos="850" w:leader="none"/>
        </w:tabs>
        <w:spacing w:lineRule="auto" w:line="240" w:before="113" w:after="113"/>
        <w:ind w:left="57" w:right="57"/>
        <w:contextualSpacing w:val="false"/>
        <w:jc w:val="both"/>
        <w:rPr>
          <w:rFonts w:ascii="Verdana" w:hAnsi="Verdana"/>
          <w:sz w:val="20"/>
          <w:szCs w:val="20"/>
        </w:rPr>
      </w:pPr>
      <w:r>
        <w:rPr>
          <w:rFonts w:cs="Arial" w:ascii="Verdana" w:hAnsi="Verdana"/>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0"/>
          <w:numId w:val="0"/>
        </w:numPr>
        <w:spacing w:lineRule="auto" w:line="240" w:before="0" w:after="0"/>
        <w:ind w:hanging="0" w:left="0"/>
        <w:rPr>
          <w:rFonts w:ascii="Verdana" w:hAnsi="Verdana"/>
          <w:sz w:val="20"/>
          <w:szCs w:val="20"/>
        </w:rPr>
      </w:pPr>
      <w:r>
        <w:rPr>
          <w:rFonts w:eastAsia="Segoe UI" w:cs="Arial" w:ascii="Verdana" w:hAnsi="Verdana"/>
          <w:bCs/>
          <w:color w:val="000000"/>
          <w:sz w:val="20"/>
          <w:szCs w:val="2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ListParagraph"/>
        <w:tabs>
          <w:tab w:val="clear" w:pos="708"/>
          <w:tab w:val="left" w:pos="850" w:leader="none"/>
        </w:tabs>
        <w:spacing w:lineRule="auto" w:line="240" w:before="0" w:after="0"/>
        <w:ind w:left="0"/>
        <w:contextualSpacing w:val="false"/>
        <w:jc w:val="both"/>
        <w:rPr>
          <w:rFonts w:ascii="Verdana" w:hAnsi="Verdana"/>
          <w:bCs/>
          <w:sz w:val="20"/>
          <w:szCs w:val="20"/>
        </w:rPr>
      </w:pPr>
      <w:r>
        <w:rPr>
          <w:rFonts w:ascii="Verdana" w:hAnsi="Verdana"/>
          <w:bCs/>
          <w:sz w:val="20"/>
          <w:szCs w:val="20"/>
        </w:rPr>
      </w:r>
    </w:p>
    <w:p>
      <w:pPr>
        <w:pStyle w:val="Nivel01"/>
        <w:spacing w:lineRule="auto" w:line="240" w:before="0" w:after="0"/>
        <w:rPr>
          <w:rFonts w:ascii="Verdana" w:hAnsi="Verdana"/>
          <w:sz w:val="20"/>
          <w:szCs w:val="20"/>
        </w:rPr>
      </w:pPr>
      <w:r>
        <w:rPr>
          <w:rFonts w:cs="Arial" w:ascii="Verdana" w:hAnsi="Verdana"/>
          <w:sz w:val="20"/>
          <w:szCs w:val="20"/>
        </w:rPr>
        <w:t>16. DO REAJUSTAMENTO EM SENTIDO GERAL</w:t>
      </w:r>
    </w:p>
    <w:p>
      <w:pPr>
        <w:pStyle w:val="ListParagraph"/>
        <w:spacing w:lineRule="auto" w:line="240" w:before="0" w:after="0"/>
        <w:ind w:left="0"/>
        <w:contextualSpacing w:val="false"/>
        <w:jc w:val="both"/>
        <w:rPr>
          <w:rFonts w:ascii="Verdana" w:hAnsi="Verdana"/>
          <w:sz w:val="20"/>
          <w:szCs w:val="20"/>
        </w:rPr>
      </w:pPr>
      <w:r>
        <w:rPr>
          <w:rFonts w:cs="Arial" w:ascii="Verdana" w:hAnsi="Verdana"/>
          <w:color w:val="000000"/>
          <w:sz w:val="20"/>
          <w:szCs w:val="20"/>
        </w:rPr>
        <w:t xml:space="preserve">15.1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spacing w:lineRule="auto" w:line="240" w:before="0" w:after="0"/>
        <w:ind w:left="0"/>
        <w:contextualSpacing w:val="false"/>
        <w:jc w:val="both"/>
        <w:rPr>
          <w:rFonts w:ascii="Verdana" w:hAnsi="Verdana"/>
          <w:sz w:val="20"/>
          <w:szCs w:val="20"/>
        </w:rPr>
      </w:pPr>
      <w:r>
        <w:rPr>
          <w:rFonts w:ascii="Verdana" w:hAnsi="Verdana"/>
          <w:sz w:val="20"/>
          <w:szCs w:val="20"/>
        </w:rPr>
      </w:r>
    </w:p>
    <w:p>
      <w:pPr>
        <w:pStyle w:val="Nivel01"/>
        <w:spacing w:lineRule="auto" w:line="240" w:before="0" w:after="0"/>
        <w:rPr>
          <w:rFonts w:ascii="Verdana" w:hAnsi="Verdana"/>
          <w:sz w:val="20"/>
          <w:szCs w:val="20"/>
        </w:rPr>
      </w:pPr>
      <w:r>
        <w:rPr>
          <w:rFonts w:cs="Arial" w:ascii="Verdana" w:hAnsi="Verdana"/>
          <w:sz w:val="20"/>
          <w:szCs w:val="20"/>
        </w:rPr>
        <w:t>17. DA ACEITAÇÃO DO OBJETO E DA FISCALIZAÇÃO</w:t>
      </w:r>
    </w:p>
    <w:p>
      <w:pPr>
        <w:pStyle w:val="ListParagraph"/>
        <w:spacing w:lineRule="auto" w:line="240" w:before="0" w:after="0"/>
        <w:ind w:left="0"/>
        <w:contextualSpacing w:val="false"/>
        <w:jc w:val="both"/>
        <w:rPr>
          <w:rFonts w:ascii="Verdana" w:hAnsi="Verdana"/>
          <w:sz w:val="20"/>
          <w:szCs w:val="20"/>
        </w:rPr>
      </w:pPr>
      <w:r>
        <w:rPr>
          <w:rFonts w:cs="Arial" w:ascii="Verdana" w:hAnsi="Verdana"/>
          <w:color w:val="000000"/>
          <w:sz w:val="20"/>
          <w:szCs w:val="20"/>
          <w:lang w:eastAsia="en-US"/>
        </w:rPr>
        <w:t>17.1 Os critérios de recebimento e aceitação do objeto e de fiscalização estão previstos no Termo de Referência e Minuta da Ata anexo a este edital.</w:t>
      </w:r>
    </w:p>
    <w:p>
      <w:pPr>
        <w:pStyle w:val="ListParagraph"/>
        <w:spacing w:lineRule="auto" w:line="240" w:before="0" w:after="0"/>
        <w:ind w:left="0"/>
        <w:contextualSpacing w:val="false"/>
        <w:jc w:val="both"/>
        <w:rPr>
          <w:rFonts w:ascii="Verdana" w:hAnsi="Verdana"/>
          <w:sz w:val="20"/>
          <w:szCs w:val="20"/>
        </w:rPr>
      </w:pPr>
      <w:r>
        <w:rPr>
          <w:rFonts w:ascii="Verdana" w:hAnsi="Verdana"/>
          <w:sz w:val="20"/>
          <w:szCs w:val="20"/>
        </w:rPr>
      </w:r>
    </w:p>
    <w:p>
      <w:pPr>
        <w:pStyle w:val="Nivel01"/>
        <w:spacing w:lineRule="auto" w:line="240" w:before="0" w:after="0"/>
        <w:rPr>
          <w:rFonts w:ascii="Verdana" w:hAnsi="Verdana"/>
          <w:sz w:val="20"/>
          <w:szCs w:val="20"/>
        </w:rPr>
      </w:pPr>
      <w:r>
        <w:rPr>
          <w:rFonts w:cs="Arial" w:ascii="Verdana" w:hAnsi="Verdana"/>
          <w:sz w:val="20"/>
          <w:szCs w:val="20"/>
          <w:lang w:eastAsia="en-US"/>
        </w:rPr>
        <w:t>18. DAS OBRIGAÇÕES DA CONTRATANTE E DA CONTRATADA</w:t>
      </w:r>
    </w:p>
    <w:p>
      <w:pPr>
        <w:pStyle w:val="ListParagraph"/>
        <w:spacing w:lineRule="auto" w:line="240" w:before="0" w:after="0"/>
        <w:ind w:left="0"/>
        <w:contextualSpacing w:val="false"/>
        <w:jc w:val="both"/>
        <w:rPr>
          <w:rFonts w:ascii="Verdana" w:hAnsi="Verdana"/>
          <w:sz w:val="20"/>
          <w:szCs w:val="20"/>
        </w:rPr>
      </w:pPr>
      <w:r>
        <w:rPr>
          <w:rFonts w:cs="Arial" w:ascii="Verdana" w:hAnsi="Verdana"/>
          <w:b/>
          <w:bCs/>
          <w:color w:val="000000"/>
          <w:sz w:val="20"/>
          <w:szCs w:val="20"/>
          <w:lang w:eastAsia="en-US"/>
        </w:rPr>
        <w:t xml:space="preserve">18.1 </w:t>
      </w:r>
      <w:r>
        <w:rPr>
          <w:rFonts w:cs="Arial" w:ascii="Verdana" w:hAnsi="Verdana"/>
          <w:color w:val="000000"/>
          <w:sz w:val="20"/>
          <w:szCs w:val="20"/>
          <w:lang w:eastAsia="en-US"/>
        </w:rPr>
        <w:t>As obrigações da Contratante e da Contratada são as estabelecidas no Termo de Referência e Minuta da Ata anexo a este edital.</w:t>
      </w:r>
    </w:p>
    <w:p>
      <w:pPr>
        <w:pStyle w:val="ListParagraph"/>
        <w:spacing w:lineRule="auto" w:line="240" w:before="0" w:after="0"/>
        <w:ind w:left="0"/>
        <w:contextualSpacing w:val="false"/>
        <w:jc w:val="both"/>
        <w:rPr>
          <w:rFonts w:ascii="Verdana" w:hAnsi="Verdana"/>
          <w:sz w:val="20"/>
          <w:szCs w:val="20"/>
        </w:rPr>
      </w:pPr>
      <w:r>
        <w:rPr>
          <w:rFonts w:ascii="Verdana" w:hAnsi="Verdana"/>
          <w:sz w:val="20"/>
          <w:szCs w:val="20"/>
        </w:rPr>
      </w:r>
    </w:p>
    <w:p>
      <w:pPr>
        <w:pStyle w:val="Nivel01"/>
        <w:spacing w:lineRule="auto" w:line="240" w:before="0" w:after="0"/>
        <w:rPr>
          <w:rFonts w:ascii="Verdana" w:hAnsi="Verdana"/>
          <w:sz w:val="20"/>
          <w:szCs w:val="20"/>
        </w:rPr>
      </w:pPr>
      <w:r>
        <w:rPr>
          <w:rFonts w:cs="Tahoma" w:ascii="Verdana" w:hAnsi="Verdana"/>
          <w:color w:val="auto"/>
          <w:sz w:val="20"/>
          <w:szCs w:val="20"/>
        </w:rPr>
        <w:t>19</w:t>
      </w:r>
      <w:r>
        <w:rPr>
          <w:rFonts w:cs="Arial" w:ascii="Verdana" w:hAnsi="Verdana"/>
          <w:sz w:val="20"/>
          <w:szCs w:val="20"/>
        </w:rPr>
        <w:t>. DO PAGAMENTO</w:t>
      </w:r>
    </w:p>
    <w:p>
      <w:pPr>
        <w:pStyle w:val="ListParagraph"/>
        <w:spacing w:lineRule="auto" w:line="240" w:before="0" w:after="0"/>
        <w:ind w:left="0"/>
        <w:contextualSpacing w:val="false"/>
        <w:jc w:val="both"/>
        <w:rPr>
          <w:rFonts w:ascii="Verdana" w:hAnsi="Verdana"/>
          <w:sz w:val="20"/>
          <w:szCs w:val="20"/>
        </w:rPr>
      </w:pPr>
      <w:r>
        <w:rPr>
          <w:rFonts w:cs="Arial" w:ascii="Verdana" w:hAnsi="Verdana"/>
          <w:b/>
          <w:bCs/>
          <w:color w:val="000000"/>
          <w:sz w:val="20"/>
          <w:szCs w:val="20"/>
          <w:lang w:eastAsia="en-US"/>
        </w:rPr>
        <w:t xml:space="preserve">19.1 </w:t>
      </w:r>
      <w:r>
        <w:rPr>
          <w:rFonts w:cs="Arial" w:ascii="Verdana" w:hAnsi="Verdana"/>
          <w:color w:val="000000"/>
          <w:sz w:val="20"/>
          <w:szCs w:val="20"/>
          <w:lang w:eastAsia="en-US"/>
        </w:rPr>
        <w:t>As regras acerca do pagamento são as estabelecidas no Termo de Referência e Minuta de Ata anexo a este edital.</w:t>
      </w:r>
    </w:p>
    <w:p>
      <w:pPr>
        <w:pStyle w:val="ListParagraph"/>
        <w:spacing w:lineRule="auto" w:line="240" w:before="0" w:after="0"/>
        <w:ind w:left="0"/>
        <w:contextualSpacing w:val="false"/>
        <w:jc w:val="both"/>
        <w:rPr>
          <w:rFonts w:ascii="Verdana" w:hAnsi="Verdana"/>
          <w:sz w:val="20"/>
          <w:szCs w:val="20"/>
        </w:rPr>
      </w:pPr>
      <w:r>
        <w:rPr>
          <w:rFonts w:ascii="Verdana" w:hAnsi="Verdana"/>
          <w:sz w:val="20"/>
          <w:szCs w:val="20"/>
        </w:rPr>
      </w:r>
    </w:p>
    <w:p>
      <w:pPr>
        <w:pStyle w:val="Nivel01"/>
        <w:spacing w:lineRule="auto" w:line="240" w:before="0" w:after="0"/>
        <w:rPr>
          <w:rFonts w:ascii="Verdana" w:hAnsi="Verdana"/>
          <w:sz w:val="20"/>
          <w:szCs w:val="20"/>
        </w:rPr>
      </w:pPr>
      <w:r>
        <w:rPr>
          <w:rFonts w:cs="Arial" w:ascii="Verdana" w:hAnsi="Verdana"/>
          <w:sz w:val="20"/>
          <w:szCs w:val="20"/>
        </w:rPr>
        <w:t>20. DAS SANÇÕES ADMINISTRATIVAS.</w:t>
      </w:r>
    </w:p>
    <w:p>
      <w:pPr>
        <w:pStyle w:val="ListParagraph"/>
        <w:spacing w:lineRule="auto" w:line="240" w:before="0" w:after="0"/>
        <w:ind w:left="0"/>
        <w:contextualSpacing w:val="false"/>
        <w:jc w:val="both"/>
        <w:rPr>
          <w:rFonts w:ascii="Verdana" w:hAnsi="Verdana"/>
          <w:sz w:val="20"/>
          <w:szCs w:val="20"/>
        </w:rPr>
      </w:pPr>
      <w:r>
        <w:rPr>
          <w:rFonts w:cs="Arial" w:ascii="Verdana" w:hAnsi="Verdana"/>
          <w:b w:val="false"/>
          <w:bCs w:val="false"/>
          <w:sz w:val="20"/>
          <w:szCs w:val="20"/>
          <w:shd w:fill="FFFFFF" w:val="clear"/>
        </w:rPr>
        <w:t>20.1</w:t>
      </w:r>
      <w:r>
        <w:rPr>
          <w:rFonts w:cs="Arial" w:ascii="Verdana" w:hAnsi="Verdana"/>
          <w:b/>
          <w:bCs/>
          <w:sz w:val="20"/>
          <w:szCs w:val="20"/>
          <w:shd w:fill="FFFFFF" w:val="clear"/>
        </w:rPr>
        <w:t xml:space="preserve"> </w:t>
      </w:r>
      <w:r>
        <w:rPr>
          <w:rFonts w:cs="Arial" w:ascii="Verdana" w:hAnsi="Verdana"/>
          <w:sz w:val="20"/>
          <w:szCs w:val="20"/>
          <w:shd w:fill="FFFFFF" w:val="clear"/>
        </w:rPr>
        <w:t xml:space="preserve">Comete infração administrativa, nos termos da Lei, o licitante/adjudicatário que: </w:t>
      </w:r>
    </w:p>
    <w:p>
      <w:pPr>
        <w:pStyle w:val="Normal"/>
        <w:tabs>
          <w:tab w:val="clear" w:pos="708"/>
          <w:tab w:val="left" w:pos="850" w:leader="none"/>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shd w:fill="FFFFFF" w:val="clear"/>
        </w:rPr>
        <w:t>20.1.1 D</w:t>
      </w:r>
      <w:bookmarkStart w:id="15"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5"/>
    </w:p>
    <w:p>
      <w:pPr>
        <w:pStyle w:val="Normal"/>
        <w:tabs>
          <w:tab w:val="clear" w:pos="708"/>
          <w:tab w:val="left" w:pos="850" w:leader="none"/>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shd w:fill="FFFFFF" w:val="clear"/>
        </w:rPr>
        <w:t xml:space="preserve">20.1.2 </w:t>
      </w:r>
      <w:bookmarkStart w:id="16" w:name="_Ref114668108"/>
      <w:r>
        <w:rPr>
          <w:rFonts w:cs="Arial" w:ascii="Verdana" w:hAnsi="Verdana"/>
          <w:sz w:val="20"/>
          <w:szCs w:val="20"/>
          <w:shd w:fill="FFFFFF" w:val="clear"/>
        </w:rPr>
        <w:t>Salvo em decorrência de fato superveniente devidamente justificado, não mantiver a proposta em especial quando:</w:t>
      </w:r>
      <w:bookmarkEnd w:id="16"/>
    </w:p>
    <w:p>
      <w:pPr>
        <w:pStyle w:val="Normal"/>
        <w:tabs>
          <w:tab w:val="clear" w:pos="708"/>
          <w:tab w:val="left" w:pos="850" w:leader="none"/>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shd w:fill="FFFFFF" w:val="clear"/>
        </w:rPr>
        <w:t>20.1.2.1 Não enviar a proposta adequada ao último lance ofertado ou após a negociação;</w:t>
      </w:r>
    </w:p>
    <w:p>
      <w:pPr>
        <w:pStyle w:val="Normal"/>
        <w:tabs>
          <w:tab w:val="clear" w:pos="708"/>
          <w:tab w:val="left" w:pos="850" w:leader="none"/>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shd w:fill="FFFFFF" w:val="clear"/>
        </w:rPr>
        <w:t>20.1.2.2 Recusar-se a enviar o detalhamento da proposta quando exigível;</w:t>
      </w:r>
    </w:p>
    <w:p>
      <w:pPr>
        <w:pStyle w:val="Normal"/>
        <w:tabs>
          <w:tab w:val="clear" w:pos="708"/>
          <w:tab w:val="left" w:pos="850" w:leader="none"/>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rPr>
        <w:t xml:space="preserve">20.1.2.3 Pedir para ser desclassificado quando encerrada a etapa competitiva; ou </w:t>
      </w:r>
    </w:p>
    <w:p>
      <w:pPr>
        <w:pStyle w:val="Normal"/>
        <w:tabs>
          <w:tab w:val="clear" w:pos="708"/>
          <w:tab w:val="left" w:pos="850" w:leader="none"/>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shd w:fill="FFFFFF" w:val="clear"/>
        </w:rPr>
        <w:t>20.1.2.4 Deixar de apresentar amostra;</w:t>
      </w:r>
    </w:p>
    <w:p>
      <w:pPr>
        <w:pStyle w:val="Normal"/>
        <w:tabs>
          <w:tab w:val="clear" w:pos="708"/>
          <w:tab w:val="left" w:pos="850" w:leader="none"/>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shd w:fill="FFFFFF" w:val="clear"/>
        </w:rPr>
        <w:t>20.1.2.5 Apresentar proposta ou amostra em desacordo com as especificações do edital;</w:t>
      </w:r>
    </w:p>
    <w:p>
      <w:pPr>
        <w:pStyle w:val="Normal"/>
        <w:tabs>
          <w:tab w:val="clear" w:pos="708"/>
          <w:tab w:val="left" w:pos="850" w:leader="none"/>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lineRule="auto" w:line="240" w:before="57" w:after="57"/>
        <w:jc w:val="both"/>
        <w:rPr>
          <w:rFonts w:ascii="Verdana" w:hAnsi="Verdana"/>
          <w:sz w:val="20"/>
          <w:szCs w:val="20"/>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lineRule="auto" w:line="240" w:before="57" w:after="57"/>
        <w:jc w:val="both"/>
        <w:rPr>
          <w:rFonts w:ascii="Verdana" w:hAnsi="Verdana"/>
          <w:sz w:val="20"/>
          <w:szCs w:val="20"/>
        </w:rPr>
      </w:pPr>
      <w:r>
        <w:rPr>
          <w:rFonts w:ascii="Verdana" w:hAnsi="Verdana"/>
          <w:sz w:val="20"/>
          <w:szCs w:val="20"/>
        </w:rPr>
        <w:t>20.1.4 A</w:t>
      </w:r>
      <w:bookmarkStart w:id="17" w:name="_Ref114668249"/>
      <w:r>
        <w:rPr>
          <w:rFonts w:ascii="Verdana" w:hAnsi="Verdana"/>
          <w:sz w:val="20"/>
          <w:szCs w:val="20"/>
        </w:rPr>
        <w:t>presentar declaração ou documentação falsa exigida para o certame ou prestar declaração falsa durante a licitação</w:t>
      </w:r>
      <w:bookmarkEnd w:id="17"/>
    </w:p>
    <w:p>
      <w:pPr>
        <w:pStyle w:val="Normal"/>
        <w:spacing w:lineRule="auto" w:line="240" w:before="57" w:after="57"/>
        <w:jc w:val="both"/>
        <w:rPr>
          <w:rFonts w:ascii="Verdana" w:hAnsi="Verdana"/>
          <w:sz w:val="20"/>
          <w:szCs w:val="20"/>
        </w:rPr>
      </w:pPr>
      <w:r>
        <w:rPr>
          <w:rFonts w:ascii="Verdana" w:hAnsi="Verdana"/>
          <w:sz w:val="20"/>
          <w:szCs w:val="20"/>
        </w:rPr>
        <w:t>20.1.5 F</w:t>
      </w:r>
      <w:bookmarkStart w:id="18" w:name="_Ref114668245"/>
      <w:r>
        <w:rPr>
          <w:rFonts w:ascii="Verdana" w:hAnsi="Verdana"/>
          <w:sz w:val="20"/>
          <w:szCs w:val="20"/>
        </w:rPr>
        <w:t>raudar a licitação</w:t>
      </w:r>
      <w:bookmarkEnd w:id="18"/>
    </w:p>
    <w:p>
      <w:pPr>
        <w:pStyle w:val="Normal"/>
        <w:spacing w:lineRule="auto" w:line="240" w:before="57" w:after="57"/>
        <w:jc w:val="both"/>
        <w:rPr>
          <w:rFonts w:ascii="Verdana" w:hAnsi="Verdana"/>
          <w:sz w:val="20"/>
          <w:szCs w:val="20"/>
        </w:rPr>
      </w:pPr>
      <w:r>
        <w:rPr>
          <w:rFonts w:ascii="Verdana" w:hAnsi="Verdana"/>
          <w:sz w:val="20"/>
          <w:szCs w:val="20"/>
        </w:rPr>
        <w:t>20.1.6 C</w:t>
      </w:r>
      <w:bookmarkStart w:id="19" w:name="_Ref114668247"/>
      <w:r>
        <w:rPr>
          <w:rFonts w:ascii="Verdana" w:hAnsi="Verdana"/>
          <w:sz w:val="20"/>
          <w:szCs w:val="20"/>
        </w:rPr>
        <w:t>omportar-se de modo inidôneo ou cometer fraude de qualquer natureza, em especial quando:</w:t>
      </w:r>
      <w:bookmarkEnd w:id="19"/>
    </w:p>
    <w:p>
      <w:pPr>
        <w:pStyle w:val="Normal"/>
        <w:spacing w:lineRule="auto" w:line="240" w:before="57" w:after="57"/>
        <w:jc w:val="both"/>
        <w:rPr>
          <w:rFonts w:ascii="Verdana" w:hAnsi="Verdana"/>
          <w:sz w:val="20"/>
          <w:szCs w:val="20"/>
        </w:rPr>
      </w:pPr>
      <w:r>
        <w:rPr>
          <w:rFonts w:ascii="Verdana" w:hAnsi="Verdana"/>
          <w:sz w:val="20"/>
          <w:szCs w:val="20"/>
        </w:rPr>
        <w:t>20.1.6.1 Agir em conluio ou em desconformidade com a lei;</w:t>
      </w:r>
    </w:p>
    <w:p>
      <w:pPr>
        <w:pStyle w:val="Normal"/>
        <w:spacing w:lineRule="auto" w:line="240" w:before="57" w:after="57"/>
        <w:jc w:val="both"/>
        <w:rPr>
          <w:rFonts w:ascii="Verdana" w:hAnsi="Verdana"/>
          <w:sz w:val="20"/>
          <w:szCs w:val="20"/>
        </w:rPr>
      </w:pPr>
      <w:r>
        <w:rPr>
          <w:rFonts w:ascii="Verdana" w:hAnsi="Verdana"/>
          <w:sz w:val="20"/>
          <w:szCs w:val="20"/>
        </w:rPr>
        <w:t>20.1.6.2 Induzir deliberadamente a erro no julgamento;</w:t>
      </w:r>
    </w:p>
    <w:p>
      <w:pPr>
        <w:pStyle w:val="Normal"/>
        <w:spacing w:lineRule="auto" w:line="240" w:before="57" w:after="57"/>
        <w:jc w:val="both"/>
        <w:rPr>
          <w:rFonts w:ascii="Verdana" w:hAnsi="Verdana"/>
          <w:sz w:val="20"/>
          <w:szCs w:val="20"/>
        </w:rPr>
      </w:pPr>
      <w:r>
        <w:rPr>
          <w:rFonts w:ascii="Verdana" w:hAnsi="Verdana"/>
          <w:sz w:val="20"/>
          <w:szCs w:val="20"/>
        </w:rPr>
        <w:t>20.1.6.3 Apresentar amostra falsificada ou deteriorada;</w:t>
      </w:r>
    </w:p>
    <w:p>
      <w:pPr>
        <w:pStyle w:val="Normal"/>
        <w:spacing w:lineRule="auto" w:line="240" w:before="57" w:after="57"/>
        <w:jc w:val="both"/>
        <w:rPr>
          <w:rFonts w:ascii="Verdana" w:hAnsi="Verdana"/>
          <w:sz w:val="20"/>
          <w:szCs w:val="20"/>
        </w:rPr>
      </w:pPr>
      <w:r>
        <w:rPr>
          <w:rFonts w:ascii="Verdana" w:hAnsi="Verdana"/>
          <w:sz w:val="20"/>
          <w:szCs w:val="20"/>
        </w:rPr>
        <w:t>20.1.7 P</w:t>
      </w:r>
      <w:bookmarkStart w:id="20" w:name="_Ref114668251"/>
      <w:r>
        <w:rPr>
          <w:rFonts w:ascii="Verdana" w:hAnsi="Verdana"/>
          <w:sz w:val="20"/>
          <w:szCs w:val="20"/>
        </w:rPr>
        <w:t>raticar atos ilícitos com vistas a frustrar os objetivos da licitação</w:t>
      </w:r>
      <w:bookmarkEnd w:id="20"/>
    </w:p>
    <w:p>
      <w:pPr>
        <w:pStyle w:val="Normal"/>
        <w:spacing w:lineRule="auto" w:line="240" w:before="57" w:after="57"/>
        <w:jc w:val="both"/>
        <w:rPr/>
      </w:pPr>
      <w:r>
        <w:rPr>
          <w:rFonts w:ascii="Verdana" w:hAnsi="Verdana"/>
          <w:sz w:val="20"/>
          <w:szCs w:val="20"/>
        </w:rPr>
        <w:t>20.1.8 P</w:t>
      </w:r>
      <w:bookmarkStart w:id="21" w:name="_Ref114668252"/>
      <w:r>
        <w:rPr>
          <w:rFonts w:ascii="Verdana" w:hAnsi="Verdana"/>
          <w:sz w:val="20"/>
          <w:szCs w:val="20"/>
        </w:rPr>
        <w:t xml:space="preserve">raticar ato lesivo previsto no </w:t>
      </w:r>
      <w:r>
        <w:fldChar w:fldCharType="begin"/>
      </w:r>
      <w:r>
        <w:rPr>
          <w:rStyle w:val="ListLabel188"/>
          <w:sz w:val="20"/>
          <w:szCs w:val="20"/>
          <w:rFonts w:ascii="Verdana" w:hAnsi="Verdana"/>
          <w:color w:val="000000"/>
        </w:rPr>
        <w:instrText xml:space="preserve"> HYPERLINK "https://www.planalto.gov.br/ccivil_03/_ato2011-2014/2013/lei/l12846.htm" \l "art5"</w:instrText>
      </w:r>
      <w:r>
        <w:rPr>
          <w:rStyle w:val="ListLabel188"/>
          <w:sz w:val="20"/>
          <w:szCs w:val="20"/>
          <w:rFonts w:ascii="Verdana" w:hAnsi="Verdana"/>
          <w:color w:val="000000"/>
        </w:rPr>
        <w:fldChar w:fldCharType="separate"/>
      </w:r>
      <w:r>
        <w:rPr>
          <w:rStyle w:val="ListLabel188"/>
          <w:rFonts w:ascii="Verdana" w:hAnsi="Verdana"/>
          <w:color w:val="000000"/>
          <w:sz w:val="20"/>
          <w:szCs w:val="20"/>
        </w:rPr>
        <w:t>art. 5º da Lei n.º 12.846, de 2013</w:t>
      </w:r>
      <w:r>
        <w:rPr>
          <w:rStyle w:val="ListLabel188"/>
          <w:sz w:val="20"/>
          <w:szCs w:val="20"/>
          <w:rFonts w:ascii="Verdana" w:hAnsi="Verdana"/>
          <w:color w:val="000000"/>
        </w:rPr>
        <w:fldChar w:fldCharType="end"/>
      </w:r>
      <w:r>
        <w:rPr>
          <w:rFonts w:ascii="Verdana" w:hAnsi="Verdana"/>
          <w:sz w:val="20"/>
          <w:szCs w:val="20"/>
        </w:rPr>
        <w:t>.</w:t>
      </w:r>
      <w:bookmarkEnd w:id="21"/>
    </w:p>
    <w:p>
      <w:pPr>
        <w:pStyle w:val="Nivel2"/>
        <w:numPr>
          <w:ilvl w:val="0"/>
          <w:numId w:val="0"/>
        </w:numPr>
        <w:spacing w:lineRule="auto" w:line="240"/>
        <w:ind w:hanging="0" w:left="0"/>
        <w:rPr/>
      </w:pPr>
      <w:r>
        <w:rPr>
          <w:rFonts w:ascii="Verdana" w:hAnsi="Verdana"/>
          <w:sz w:val="20"/>
          <w:szCs w:val="20"/>
        </w:rPr>
        <w:t xml:space="preserve">20.2 Com fulcro na </w:t>
      </w:r>
      <w:r>
        <w:rPr>
          <w:rStyle w:val="Hyperlink1"/>
          <w:rFonts w:ascii="Verdana" w:hAnsi="Verdana"/>
          <w:color w:val="000000"/>
          <w:sz w:val="20"/>
          <w:szCs w:val="20"/>
          <w:u w:val="none"/>
        </w:rPr>
        <w:t>Lei nº 14.133, de 2021</w:t>
      </w:r>
      <w:r>
        <w:rPr>
          <w:rFonts w:ascii="Verdana" w:hAnsi="Verdana"/>
          <w:sz w:val="20"/>
          <w:szCs w:val="20"/>
        </w:rPr>
        <w:t>, a Administração poderá, garantida a prévia defesa, aplicar aos licitantes e/ou adjudicatários as seguintes sanções, sem prejuízo das responsabilidades civil e criminal:</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20.2.1 advertência;</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20.2.2 multa;</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20.2.3 impedimento de licitar e contratar e</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20.3 Na aplicação das sanções serão considerados:</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20.3.1 a natureza e a gravidade da infração cometida.</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20.3.2 as peculiaridades do caso concreto</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20.3.3 as circunstâncias agravantes ou atenuantes</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20.3.4 os danos que dela provierem para a Administração Pública</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20.3.5 a implantação ou o aperfeiçoamento de programa de integridade, conforme normas e orientações dos órgãos de controle.</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20.4 A multa será recolhida em percentual de 10% incidente sobre o valor do contrato licitado, recolhida no prazo máximo de 30 (Trinta) dias úteis, a contar da comunicação oficial.</w:t>
      </w:r>
    </w:p>
    <w:p>
      <w:pPr>
        <w:pStyle w:val="Nivel2"/>
        <w:numPr>
          <w:ilvl w:val="0"/>
          <w:numId w:val="0"/>
        </w:numPr>
        <w:spacing w:lineRule="auto" w:line="240"/>
        <w:ind w:hanging="0" w:left="0"/>
        <w:rPr>
          <w:rFonts w:ascii="Verdana" w:hAnsi="Verdana"/>
          <w:sz w:val="20"/>
          <w:szCs w:val="20"/>
        </w:rPr>
      </w:pPr>
      <w:r>
        <w:rPr>
          <w:rFonts w:ascii="Verdana" w:hAnsi="Verdana"/>
          <w:sz w:val="20"/>
          <w:szCs w:val="20"/>
        </w:rPr>
        <w:t xml:space="preserve">20.4.1 </w:t>
      </w:r>
      <w:bookmarkStart w:id="22" w:name="_Hlk113876035"/>
      <w:bookmarkStart w:id="23" w:name="_Hlk113876035_Copia_1"/>
      <w:r>
        <w:rPr>
          <w:rFonts w:ascii="Verdana" w:hAnsi="Verdana"/>
          <w:sz w:val="20"/>
          <w:szCs w:val="20"/>
        </w:rPr>
        <w:t>Para as infrações previstas nos itens 20.1.1, 20.1.2 e 20.1.3, a multa será de 5% do valor do contrato licitado.</w:t>
      </w:r>
      <w:bookmarkEnd w:id="22"/>
      <w:bookmarkEnd w:id="23"/>
    </w:p>
    <w:p>
      <w:pPr>
        <w:pStyle w:val="Nivel2"/>
        <w:numPr>
          <w:ilvl w:val="0"/>
          <w:numId w:val="0"/>
        </w:numPr>
        <w:spacing w:lineRule="auto" w:line="240"/>
        <w:ind w:hanging="0" w:left="0"/>
        <w:rPr>
          <w:rFonts w:ascii="Verdana" w:hAnsi="Verdana"/>
          <w:sz w:val="20"/>
          <w:szCs w:val="20"/>
        </w:rPr>
      </w:pPr>
      <w:r>
        <w:rPr>
          <w:rFonts w:ascii="Verdana" w:hAnsi="Verdana"/>
          <w:sz w:val="20"/>
          <w:szCs w:val="20"/>
        </w:rPr>
        <w:t>20.4.2 Para as infrações previstas nos itens 20.1.4, 20.1.5, 20.1.6, 20.1.7 e 20.1.8, a multa será de 15% do valor do contrato licitado.</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20.6 Na aplicação da sanção de multa será facultada a defesa do interessado no prazo de 15 (quinze) dias úteis, contado da data de sua intimação.</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lineRule="auto" w:line="240"/>
        <w:ind w:hanging="0" w:left="0"/>
        <w:rPr/>
      </w:pPr>
      <w:r>
        <w:rPr>
          <w:rFonts w:ascii="Verdana" w:hAnsi="Verdana"/>
          <w:sz w:val="20"/>
          <w:szCs w:val="20"/>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188"/>
          <w:sz w:val="20"/>
          <w:szCs w:val="20"/>
          <w:rFonts w:ascii="Verdana" w:hAnsi="Verdana"/>
          <w:color w:val="000000"/>
        </w:rPr>
        <w:instrText xml:space="preserve"> HYPERLINK "http://www.planalto.gov.br/ccivil_03/_ato2019-2022/2021/lei/L14133.htm" \l "art156%C2%A75"</w:instrText>
      </w:r>
      <w:r>
        <w:rPr>
          <w:rStyle w:val="ListLabel188"/>
          <w:sz w:val="20"/>
          <w:szCs w:val="20"/>
          <w:rFonts w:ascii="Verdana" w:hAnsi="Verdana"/>
          <w:color w:val="000000"/>
        </w:rPr>
        <w:fldChar w:fldCharType="separate"/>
      </w:r>
      <w:r>
        <w:rPr>
          <w:rStyle w:val="ListLabel188"/>
          <w:rFonts w:ascii="Verdana" w:hAnsi="Verdana"/>
          <w:color w:val="000000"/>
          <w:sz w:val="20"/>
          <w:szCs w:val="20"/>
        </w:rPr>
        <w:t>art. 156, §5º, da Lei n.º 14.133/2021</w:t>
      </w:r>
      <w:r>
        <w:rPr>
          <w:rStyle w:val="ListLabel188"/>
          <w:sz w:val="20"/>
          <w:szCs w:val="20"/>
          <w:rFonts w:ascii="Verdana" w:hAnsi="Verdana"/>
          <w:color w:val="000000"/>
        </w:rPr>
        <w:fldChar w:fldCharType="end"/>
      </w:r>
      <w:r>
        <w:rPr>
          <w:rFonts w:ascii="Verdana" w:hAnsi="Verdana"/>
          <w:sz w:val="20"/>
          <w:szCs w:val="20"/>
        </w:rPr>
        <w:t>.</w:t>
      </w:r>
    </w:p>
    <w:p>
      <w:pPr>
        <w:pStyle w:val="Nivel2"/>
        <w:numPr>
          <w:ilvl w:val="0"/>
          <w:numId w:val="0"/>
        </w:numPr>
        <w:spacing w:lineRule="auto" w:line="240"/>
        <w:ind w:hanging="0" w:left="0"/>
        <w:rPr/>
      </w:pPr>
      <w:r>
        <w:rPr>
          <w:rFonts w:ascii="Verdana" w:hAnsi="Verdana"/>
          <w:sz w:val="20"/>
          <w:szCs w:val="20"/>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9">
        <w:r>
          <w:rPr>
            <w:rStyle w:val="ListLabel188"/>
            <w:rFonts w:ascii="Verdana" w:hAnsi="Verdana"/>
            <w:color w:val="000000"/>
            <w:sz w:val="20"/>
            <w:szCs w:val="20"/>
          </w:rPr>
          <w:t>art. 45, §4º da IN SEGES/ME n.º 73, de 2022</w:t>
        </w:r>
      </w:hyperlink>
      <w:r>
        <w:rPr>
          <w:rFonts w:ascii="Verdana" w:hAnsi="Verdana"/>
          <w:sz w:val="20"/>
          <w:szCs w:val="20"/>
        </w:rPr>
        <w:t xml:space="preserve">. </w:t>
      </w:r>
    </w:p>
    <w:p>
      <w:pPr>
        <w:pStyle w:val="Nivel2"/>
        <w:numPr>
          <w:ilvl w:val="0"/>
          <w:numId w:val="0"/>
        </w:numPr>
        <w:spacing w:lineRule="auto" w:line="240"/>
        <w:ind w:hanging="0" w:left="0"/>
        <w:rPr>
          <w:rFonts w:ascii="Verdana" w:hAnsi="Verdana"/>
          <w:sz w:val="20"/>
          <w:szCs w:val="20"/>
        </w:rPr>
      </w:pPr>
      <w:r>
        <w:rPr>
          <w:rFonts w:ascii="Verdana" w:hAnsi="Verdana"/>
          <w:sz w:val="20"/>
          <w:szCs w:val="20"/>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20.12 O recurso e o pedido de reconsideração terão efeito suspensivo do ato ou da decisão recorrida até que sobrevenha decisão final da autoridade competente.</w:t>
      </w:r>
    </w:p>
    <w:p>
      <w:pPr>
        <w:pStyle w:val="Nivel2"/>
        <w:numPr>
          <w:ilvl w:val="0"/>
          <w:numId w:val="0"/>
        </w:numPr>
        <w:spacing w:lineRule="auto" w:line="240" w:before="0" w:after="0"/>
        <w:ind w:hanging="0" w:left="0"/>
        <w:rPr>
          <w:rFonts w:ascii="Verdana" w:hAnsi="Verdana"/>
          <w:sz w:val="20"/>
          <w:szCs w:val="20"/>
        </w:rPr>
      </w:pPr>
      <w:r>
        <w:rPr>
          <w:rFonts w:cs="Arial" w:ascii="Verdana" w:hAnsi="Verdana"/>
          <w:sz w:val="20"/>
          <w:szCs w:val="20"/>
          <w:shd w:fill="FFFFFF" w:val="clear"/>
        </w:rPr>
        <w:t>20.13 A aplicação das sanções previstas neste edital não exclui, em hipótese alguma, a obrigação de reparação integral dos danos causados.</w:t>
      </w:r>
    </w:p>
    <w:p>
      <w:pPr>
        <w:pStyle w:val="ListParagraph"/>
        <w:spacing w:lineRule="auto" w:line="240" w:before="0" w:after="0"/>
        <w:ind w:left="0"/>
        <w:contextualSpacing w:val="false"/>
        <w:jc w:val="both"/>
        <w:rPr>
          <w:rFonts w:ascii="Verdana" w:hAnsi="Verdana"/>
          <w:sz w:val="20"/>
          <w:szCs w:val="20"/>
          <w:shd w:fill="FFFFFF" w:val="clear"/>
        </w:rPr>
      </w:pPr>
      <w:r>
        <w:rPr>
          <w:rFonts w:ascii="Verdana" w:hAnsi="Verdana"/>
          <w:sz w:val="20"/>
          <w:szCs w:val="20"/>
          <w:shd w:fill="FFFFFF" w:val="clear"/>
        </w:rPr>
      </w:r>
    </w:p>
    <w:p>
      <w:pPr>
        <w:pStyle w:val="Nivel01"/>
        <w:spacing w:lineRule="auto" w:line="240" w:before="0" w:after="0"/>
        <w:rPr>
          <w:rFonts w:ascii="Verdana" w:hAnsi="Verdana"/>
          <w:sz w:val="20"/>
          <w:szCs w:val="20"/>
        </w:rPr>
      </w:pPr>
      <w:r>
        <w:rPr>
          <w:rFonts w:cs="Arial" w:ascii="Verdana" w:hAnsi="Verdana"/>
          <w:sz w:val="20"/>
          <w:szCs w:val="20"/>
        </w:rPr>
        <w:t>21. DA IMPUGNAÇÃO AO EDITAL E DO PEDIDO DE ESCLARECIMENTO</w:t>
      </w:r>
    </w:p>
    <w:p>
      <w:pPr>
        <w:pStyle w:val="ListParagraph"/>
        <w:spacing w:lineRule="auto" w:line="240" w:before="57" w:after="57"/>
        <w:ind w:left="0"/>
        <w:contextualSpacing w:val="false"/>
        <w:jc w:val="both"/>
        <w:rPr>
          <w:rFonts w:ascii="Verdana" w:hAnsi="Verdana"/>
          <w:sz w:val="20"/>
          <w:szCs w:val="20"/>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40" w:before="57" w:after="57"/>
        <w:ind w:left="0"/>
        <w:contextualSpacing w:val="false"/>
        <w:jc w:val="both"/>
        <w:rPr/>
      </w:pPr>
      <w:r>
        <w:rPr>
          <w:rFonts w:cs="Arial" w:ascii="Verdana" w:hAnsi="Verdana"/>
          <w:color w:val="000000"/>
          <w:sz w:val="20"/>
          <w:szCs w:val="20"/>
        </w:rPr>
        <w:t xml:space="preserve">21.2 A impugnação poderá ser realizada por forma eletrônica, pelo e-mail </w:t>
      </w:r>
      <w:hyperlink r:id="rId10">
        <w:r>
          <w:rPr>
            <w:rStyle w:val="ListLabel189"/>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21.4 Acolhida a impugnação, será definida e publicada nova data para a realização do certame.</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21.7 As impugnações e pedidos de esclarecimentos não suspendem os prazos previstos no certame.</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lineRule="auto" w:line="240" w:before="0" w:after="0"/>
        <w:ind w:left="0"/>
        <w:contextualSpacing w:val="false"/>
        <w:jc w:val="both"/>
        <w:rPr>
          <w:rFonts w:ascii="Verdana" w:hAnsi="Verdana"/>
          <w:sz w:val="20"/>
          <w:szCs w:val="20"/>
        </w:rPr>
      </w:pPr>
      <w:r>
        <w:rPr>
          <w:rFonts w:cs="Arial" w:ascii="Verdana" w:hAnsi="Verdana"/>
          <w:color w:val="000000"/>
          <w:sz w:val="20"/>
          <w:szCs w:val="20"/>
        </w:rPr>
        <w:t>21.9 As respostas aos pedidos de esclarecimentos serão divulgadas pelo sistema e vincularão os participantes e a administração.</w:t>
      </w:r>
    </w:p>
    <w:p>
      <w:pPr>
        <w:pStyle w:val="ListParagraph"/>
        <w:spacing w:lineRule="auto" w:line="240" w:before="0" w:after="0"/>
        <w:ind w:left="0"/>
        <w:contextualSpacing w:val="false"/>
        <w:jc w:val="both"/>
        <w:rPr>
          <w:rFonts w:ascii="Verdana" w:hAnsi="Verdana"/>
          <w:sz w:val="20"/>
          <w:szCs w:val="20"/>
        </w:rPr>
      </w:pPr>
      <w:r>
        <w:rPr>
          <w:rFonts w:ascii="Verdana" w:hAnsi="Verdana"/>
          <w:sz w:val="20"/>
          <w:szCs w:val="20"/>
        </w:rPr>
      </w:r>
    </w:p>
    <w:p>
      <w:pPr>
        <w:pStyle w:val="Nivel01"/>
        <w:spacing w:lineRule="auto" w:line="240" w:before="0" w:after="0"/>
        <w:rPr>
          <w:rFonts w:ascii="Verdana" w:hAnsi="Verdana"/>
          <w:sz w:val="20"/>
          <w:szCs w:val="20"/>
        </w:rPr>
      </w:pPr>
      <w:r>
        <w:rPr>
          <w:rFonts w:cs="Arial" w:ascii="Verdana" w:hAnsi="Verdana"/>
          <w:sz w:val="20"/>
          <w:szCs w:val="20"/>
        </w:rPr>
        <w:t>22. DAS DISPOSIÇÕES GERAIS</w:t>
      </w:r>
    </w:p>
    <w:p>
      <w:pPr>
        <w:pStyle w:val="Normal"/>
        <w:spacing w:lineRule="auto" w:line="240" w:before="57" w:after="57"/>
        <w:jc w:val="both"/>
        <w:rPr>
          <w:rFonts w:ascii="Verdana" w:hAnsi="Verdana"/>
          <w:sz w:val="20"/>
          <w:szCs w:val="20"/>
        </w:rPr>
      </w:pPr>
      <w:r>
        <w:rPr>
          <w:rFonts w:cs="Arial" w:ascii="Verdana" w:hAnsi="Verdana"/>
          <w:color w:val="000000"/>
          <w:sz w:val="20"/>
          <w:szCs w:val="20"/>
        </w:rPr>
        <w:t>22.1 Da sessão pública do Pregão divulgar-se-á Ata no sistema eletrônico.</w:t>
      </w:r>
    </w:p>
    <w:p>
      <w:pPr>
        <w:pStyle w:val="Normal"/>
        <w:spacing w:lineRule="auto" w:line="240" w:before="57" w:after="57"/>
        <w:jc w:val="both"/>
        <w:rPr>
          <w:rFonts w:ascii="Verdana" w:hAnsi="Verdana"/>
          <w:sz w:val="20"/>
          <w:szCs w:val="20"/>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40" w:before="57" w:after="57"/>
        <w:jc w:val="both"/>
        <w:rPr>
          <w:rFonts w:ascii="Verdana" w:hAnsi="Verdana"/>
          <w:sz w:val="20"/>
          <w:szCs w:val="20"/>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lineRule="auto" w:line="240" w:before="57" w:after="57"/>
        <w:jc w:val="both"/>
        <w:rPr>
          <w:rFonts w:ascii="Verdana" w:hAnsi="Verdana"/>
          <w:sz w:val="20"/>
          <w:szCs w:val="20"/>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40" w:before="57" w:after="57"/>
        <w:jc w:val="both"/>
        <w:rPr>
          <w:rFonts w:ascii="Verdana" w:hAnsi="Verdana"/>
          <w:sz w:val="20"/>
          <w:szCs w:val="20"/>
        </w:rPr>
      </w:pPr>
      <w:r>
        <w:rPr>
          <w:rFonts w:cs="Arial" w:ascii="Verdana" w:hAnsi="Verdana"/>
          <w:color w:val="000000"/>
          <w:sz w:val="20"/>
          <w:szCs w:val="20"/>
        </w:rPr>
        <w:t>22.5 A homologação do resultado desta licitação não implicará direito à contratação.</w:t>
      </w:r>
    </w:p>
    <w:p>
      <w:pPr>
        <w:pStyle w:val="Normal"/>
        <w:spacing w:lineRule="auto" w:line="240" w:before="57" w:after="57"/>
        <w:jc w:val="both"/>
        <w:rPr>
          <w:rFonts w:ascii="Verdana" w:hAnsi="Verdana"/>
          <w:sz w:val="20"/>
          <w:szCs w:val="20"/>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40" w:before="57" w:after="57"/>
        <w:jc w:val="both"/>
        <w:rPr>
          <w:rFonts w:ascii="Verdana" w:hAnsi="Verdana"/>
          <w:sz w:val="20"/>
          <w:szCs w:val="20"/>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40" w:before="57" w:after="57"/>
        <w:jc w:val="both"/>
        <w:rPr>
          <w:rFonts w:ascii="Verdana" w:hAnsi="Verdana"/>
          <w:sz w:val="20"/>
          <w:szCs w:val="20"/>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lineRule="auto" w:line="240" w:before="57" w:after="57"/>
        <w:jc w:val="both"/>
        <w:rPr>
          <w:rFonts w:ascii="Verdana" w:hAnsi="Verdana"/>
          <w:sz w:val="20"/>
          <w:szCs w:val="20"/>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lineRule="auto" w:line="240" w:before="57" w:after="57"/>
        <w:jc w:val="both"/>
        <w:rPr>
          <w:rFonts w:ascii="Verdana" w:hAnsi="Verdana"/>
          <w:sz w:val="20"/>
          <w:szCs w:val="20"/>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lineRule="auto" w:line="240" w:before="57" w:after="57"/>
        <w:jc w:val="both"/>
        <w:rPr/>
      </w:pPr>
      <w:r>
        <w:rPr>
          <w:rFonts w:cs="Arial" w:ascii="Verdana" w:hAnsi="Verdana"/>
          <w:sz w:val="20"/>
          <w:szCs w:val="20"/>
        </w:rPr>
        <w:t xml:space="preserve">22.11 O Edital está disponibilizado, na íntegra, no endereço eletrônico </w:t>
      </w:r>
      <w:hyperlink r:id="rId11">
        <w:r>
          <w:rPr>
            <w:rStyle w:val="Hyperlink"/>
            <w:rFonts w:cs="Arial" w:ascii="Verdana" w:hAnsi="Verdana"/>
            <w:b/>
            <w:bCs/>
            <w:color w:val="auto"/>
            <w:sz w:val="20"/>
            <w:szCs w:val="20"/>
          </w:rPr>
          <w:t>http://</w:t>
        </w:r>
        <w:bookmarkStart w:id="24" w:name="_Hlk123138684_Copia_3"/>
        <w:r>
          <w:rPr>
            <w:rStyle w:val="Hyperlink"/>
            <w:rFonts w:cs="Arial" w:ascii="Verdana" w:hAnsi="Verdana"/>
            <w:b/>
            <w:bCs/>
            <w:color w:val="auto"/>
            <w:sz w:val="20"/>
            <w:szCs w:val="20"/>
          </w:rPr>
          <w:t>www.portaldecompraspublicas.com.br</w:t>
        </w:r>
      </w:hyperlink>
      <w:bookmarkEnd w:id="24"/>
      <w:r>
        <w:rPr>
          <w:rFonts w:cs="Arial" w:ascii="Verdana" w:hAnsi="Verdana"/>
          <w:sz w:val="20"/>
          <w:szCs w:val="20"/>
        </w:rPr>
        <w:t>, e tamb</w:t>
      </w:r>
      <w:r>
        <w:rPr>
          <w:rFonts w:ascii="Verdana" w:hAnsi="Verdana"/>
          <w:sz w:val="20"/>
          <w:szCs w:val="20"/>
        </w:rPr>
        <w:t xml:space="preserve">ém poderá ser lido e/ou obtido através do e-mail </w:t>
      </w:r>
      <w:hyperlink r:id="rId12">
        <w:r>
          <w:rPr>
            <w:rStyle w:val="ListLabel191"/>
            <w:rFonts w:ascii="Verdana" w:hAnsi="Verdana"/>
            <w:b/>
            <w:bCs/>
            <w:sz w:val="20"/>
            <w:szCs w:val="20"/>
            <w:u w:val="single"/>
          </w:rPr>
          <w:t>licitacao@</w:t>
        </w:r>
      </w:hyperlink>
      <w:hyperlink r:id="rId13">
        <w:r>
          <w:rPr>
            <w:rStyle w:val="ListLabel191"/>
            <w:rFonts w:ascii="Verdana" w:hAnsi="Verdana"/>
            <w:b/>
            <w:bCs/>
            <w:sz w:val="20"/>
            <w:szCs w:val="20"/>
            <w:u w:val="single"/>
          </w:rPr>
          <w:t>saogabriel</w:t>
        </w:r>
      </w:hyperlink>
      <w:hyperlink r:id="rId14">
        <w:r>
          <w:rPr>
            <w:rStyle w:val="ListLabel191"/>
            <w:rFonts w:ascii="Verdana" w:hAnsi="Verdana"/>
            <w:b/>
            <w:bCs/>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pPr>
        <w:pStyle w:val="Normal"/>
        <w:spacing w:lineRule="auto" w:line="240" w:before="57" w:after="57"/>
        <w:jc w:val="both"/>
        <w:rPr>
          <w:rFonts w:ascii="Verdana" w:hAnsi="Verdana"/>
          <w:sz w:val="20"/>
          <w:szCs w:val="20"/>
        </w:rPr>
      </w:pPr>
      <w:r>
        <w:rPr>
          <w:rFonts w:cs="Arial" w:ascii="Verdana" w:hAnsi="Verdana"/>
          <w:color w:val="000000"/>
          <w:sz w:val="20"/>
          <w:szCs w:val="20"/>
        </w:rPr>
        <w:t>22.12 Integram este Edital, para todos os fins e efeitos, os seguintes anexos</w:t>
      </w:r>
    </w:p>
    <w:p>
      <w:pPr>
        <w:pStyle w:val="Normal"/>
        <w:spacing w:lineRule="auto" w:line="240" w:before="57" w:after="57"/>
        <w:jc w:val="both"/>
        <w:rPr>
          <w:rFonts w:ascii="Verdana" w:hAnsi="Verdana"/>
          <w:sz w:val="20"/>
          <w:szCs w:val="20"/>
        </w:rPr>
      </w:pPr>
      <w:r>
        <w:rPr>
          <w:rFonts w:cs="Arial" w:ascii="Verdana" w:hAnsi="Verdana"/>
          <w:color w:val="000000"/>
          <w:sz w:val="20"/>
          <w:szCs w:val="20"/>
        </w:rPr>
        <w:t>22.12.1 ANEXO I – Termo de Referência;</w:t>
      </w:r>
    </w:p>
    <w:p>
      <w:pPr>
        <w:pStyle w:val="Normal"/>
        <w:spacing w:lineRule="auto" w:line="240" w:before="57" w:after="57"/>
        <w:jc w:val="both"/>
        <w:rPr>
          <w:rFonts w:ascii="Verdana" w:hAnsi="Verdana"/>
          <w:sz w:val="20"/>
          <w:szCs w:val="20"/>
        </w:rPr>
      </w:pPr>
      <w:r>
        <w:rPr>
          <w:rFonts w:cs="Arial" w:ascii="Verdana" w:hAnsi="Verdana"/>
          <w:color w:val="000000"/>
          <w:sz w:val="20"/>
          <w:szCs w:val="20"/>
        </w:rPr>
        <w:t>22.12.1.2 ANEXO I-1 – Estudo Técnico Preliminar;</w:t>
      </w:r>
    </w:p>
    <w:p>
      <w:pPr>
        <w:pStyle w:val="Normal"/>
        <w:spacing w:lineRule="auto" w:line="240" w:before="57" w:after="57"/>
        <w:jc w:val="both"/>
        <w:rPr>
          <w:rFonts w:ascii="Verdana" w:hAnsi="Verdana"/>
          <w:sz w:val="20"/>
          <w:szCs w:val="20"/>
        </w:rPr>
      </w:pPr>
      <w:r>
        <w:rPr>
          <w:rFonts w:cs="Arial" w:ascii="Verdana" w:hAnsi="Verdana"/>
          <w:color w:val="000000"/>
          <w:sz w:val="20"/>
          <w:szCs w:val="20"/>
        </w:rPr>
        <w:t>22.12.2 ANEXO II – Modelo Orientativo de Proposta</w:t>
      </w:r>
    </w:p>
    <w:p>
      <w:pPr>
        <w:pStyle w:val="Normal"/>
        <w:tabs>
          <w:tab w:val="clear" w:pos="708"/>
          <w:tab w:val="left" w:pos="800"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22.12.3 ANEXO III – Minuta de Ata de Registro de Preços.</w:t>
      </w:r>
    </w:p>
    <w:p>
      <w:pPr>
        <w:pStyle w:val="Normal"/>
        <w:keepNext w:val="true"/>
        <w:keepLines/>
        <w:numPr>
          <w:ilvl w:val="0"/>
          <w:numId w:val="0"/>
        </w:numPr>
        <w:tabs>
          <w:tab w:val="clear" w:pos="708"/>
          <w:tab w:val="left" w:pos="567" w:leader="none"/>
        </w:tabs>
        <w:spacing w:lineRule="auto" w:line="240"/>
        <w:ind w:hanging="0" w:left="36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08"/>
          <w:tab w:val="left" w:pos="567" w:leader="none"/>
        </w:tabs>
        <w:spacing w:lineRule="auto" w:line="240"/>
        <w:ind w:hanging="0" w:left="36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08"/>
          <w:tab w:val="left" w:pos="567" w:leader="none"/>
        </w:tabs>
        <w:spacing w:lineRule="auto" w:line="240"/>
        <w:ind w:hanging="0" w:left="36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08"/>
          <w:tab w:val="left" w:pos="567" w:leader="none"/>
        </w:tabs>
        <w:spacing w:lineRule="auto" w:line="240"/>
        <w:ind w:hanging="0" w:left="360"/>
        <w:jc w:val="center"/>
        <w:outlineLvl w:val="0"/>
        <w:rPr>
          <w:rFonts w:ascii="Verdana" w:hAnsi="Verdana"/>
          <w:sz w:val="20"/>
          <w:szCs w:val="20"/>
        </w:rPr>
      </w:pPr>
      <w:r>
        <w:rPr>
          <w:rFonts w:cs="Arial" w:ascii="Verdana" w:hAnsi="Verdana"/>
          <w:color w:val="000000"/>
          <w:sz w:val="20"/>
          <w:szCs w:val="20"/>
        </w:rPr>
        <w:t>São Gabriel da Palha/ES, 24 de novembro de 2025.</w:t>
      </w:r>
    </w:p>
    <w:p>
      <w:pPr>
        <w:pStyle w:val="Normal"/>
        <w:tabs>
          <w:tab w:val="clear" w:pos="708"/>
          <w:tab w:val="left" w:pos="1440" w:leader="none"/>
        </w:tabs>
        <w:snapToGrid w:val="false"/>
        <w:spacing w:lineRule="auto" w:line="240" w:before="120" w:after="120"/>
        <w:ind w:left="1638"/>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lineRule="auto" w:line="240" w:before="120" w:after="120"/>
        <w:ind w:left="1638"/>
        <w:jc w:val="both"/>
        <w:rPr>
          <w:rFonts w:ascii="Verdana" w:hAnsi="Verdana" w:cs="Arial"/>
          <w:sz w:val="20"/>
          <w:szCs w:val="20"/>
        </w:rPr>
      </w:pPr>
      <w:r>
        <w:rPr>
          <w:rFonts w:cs="Arial" w:ascii="Verdana" w:hAnsi="Verdana"/>
          <w:sz w:val="20"/>
          <w:szCs w:val="20"/>
        </w:rPr>
      </w:r>
    </w:p>
    <w:p>
      <w:pPr>
        <w:pStyle w:val="Normal"/>
        <w:widowControl w:val="false"/>
        <w:spacing w:lineRule="auto" w:line="240"/>
        <w:jc w:val="center"/>
        <w:rPr>
          <w:rFonts w:ascii="Verdana" w:hAnsi="Verdana"/>
          <w:sz w:val="20"/>
          <w:szCs w:val="20"/>
        </w:rPr>
      </w:pPr>
      <w:r>
        <w:rPr>
          <w:rFonts w:cs="Times New Roman" w:ascii="Verdana" w:hAnsi="Verdana"/>
          <w:b/>
          <w:bCs/>
          <w:color w:val="000000"/>
          <w:sz w:val="20"/>
          <w:szCs w:val="20"/>
        </w:rPr>
        <w:t>FRANCIELI DA ROCHA AVILA</w:t>
      </w:r>
    </w:p>
    <w:p>
      <w:pPr>
        <w:pStyle w:val="Normal"/>
        <w:keepNext w:val="true"/>
        <w:keepLines/>
        <w:numPr>
          <w:ilvl w:val="0"/>
          <w:numId w:val="0"/>
        </w:numPr>
        <w:tabs>
          <w:tab w:val="clear" w:pos="708"/>
          <w:tab w:val="left" w:pos="567" w:leader="none"/>
        </w:tabs>
        <w:spacing w:lineRule="auto" w:line="240"/>
        <w:ind w:hanging="0" w:left="0" w:right="113"/>
        <w:jc w:val="center"/>
        <w:outlineLvl w:val="0"/>
        <w:rPr>
          <w:rFonts w:ascii="Verdana" w:hAnsi="Verdana"/>
          <w:sz w:val="20"/>
          <w:szCs w:val="20"/>
        </w:rPr>
      </w:pPr>
      <w:bookmarkStart w:id="25" w:name="_GoBack1"/>
      <w:bookmarkEnd w:id="25"/>
      <w:r>
        <w:rPr>
          <w:rFonts w:eastAsia="Arial" w:cs="Arial" w:ascii="Verdana" w:hAnsi="Verdana"/>
          <w:b/>
          <w:bCs/>
          <w:sz w:val="20"/>
          <w:szCs w:val="20"/>
        </w:rPr>
        <w:t>Secretária Municipal de Administração</w:t>
      </w:r>
    </w:p>
    <w:sectPr>
      <w:headerReference w:type="even" r:id="rId15"/>
      <w:headerReference w:type="default" r:id="rId16"/>
      <w:headerReference w:type="first" r:id="rId17"/>
      <w:footerReference w:type="even" r:id="rId18"/>
      <w:footerReference w:type="default" r:id="rId19"/>
      <w:footerReference w:type="first" r:id="rId20"/>
      <w:type w:val="nextPage"/>
      <w:pgSz w:w="11906" w:h="16838"/>
      <w:pgMar w:left="1367" w:right="872" w:gutter="0" w:header="517" w:top="1767" w:footer="0" w:bottom="709"/>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6">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6">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name w:val="Internet Link"/>
    <w:uiPriority w:val="99"/>
    <w:qFormat/>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e82b5c"/>
    <w:rPr>
      <w:rFonts w:ascii="Ecofont_Spranq_eco_Sans" w:hAnsi="Ecofont_Spranq_eco_Sans" w:eastAsia="Arial Unicode MS" w:cs="Arial"/>
      <w:color w:val="000000"/>
      <w:lang w:eastAsia="pt-BR"/>
    </w:rPr>
  </w:style>
  <w:style w:type="character" w:styleId="InternetLink1" w:customStyle="1">
    <w:name w:val="Internet Link1"/>
    <w:uiPriority w:val="99"/>
    <w:qFormat/>
    <w:rsid w:val="00a3514e"/>
    <w:rPr>
      <w:color w:val="000080"/>
      <w:u w:val="single"/>
    </w:rPr>
  </w:style>
  <w:style w:type="character" w:styleId="InternetLink2">
    <w:name w:val="Internet Link2"/>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customStyle="1">
    <w:name w:val="caption1"/>
    <w:basedOn w:val="Normal"/>
    <w:qFormat/>
    <w:pPr>
      <w:suppressLineNumbers/>
      <w:spacing w:before="120" w:after="120"/>
    </w:pPr>
    <w:rPr>
      <w:rFonts w:cs="Arial"/>
      <w:i/>
      <w:iCs/>
    </w:rPr>
  </w:style>
  <w:style w:type="paragraph" w:styleId="ListParagraph">
    <w:name w:val="List Paragraph"/>
    <w:basedOn w:val="Normal"/>
    <w:uiPriority w:val="34"/>
    <w:qFormat/>
    <w:pPr>
      <w:spacing w:before="0" w:after="0"/>
      <w:ind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Cabealhoerodap5">
    <w:name w:val="Cabeçalho e rodapé5"/>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pPr>
      <w:tabs>
        <w:tab w:val="clear" w:pos="708"/>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08"/>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paragraph" w:styleId="Contedodoquadro">
    <w:name w:val="Conteúdo do quadro"/>
    <w:basedOn w:val="Normal"/>
    <w:qFormat/>
    <w:pPr/>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ecompraspublicas.com.br/"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 TargetMode="External"/><Relationship Id="rId7" Type="http://schemas.openxmlformats.org/officeDocument/2006/relationships/hyperlink" Target="https://certidoesapf.apps.tcu.gov.br/" TargetMode="External"/><Relationship Id="rId8" Type="http://schemas.openxmlformats.org/officeDocument/2006/relationships/hyperlink" Target="http://www.portaldoempreendedor.gov.br/" TargetMode="External"/><Relationship Id="rId9"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hyperlink" Target="mailto:licitacao@saogabriel.es.gov.br" TargetMode="External"/><Relationship Id="rId11" Type="http://schemas.openxmlformats.org/officeDocument/2006/relationships/hyperlink" Target="http://www.portaldecompraspublicas.com.br/" TargetMode="External"/><Relationship Id="rId12" Type="http://schemas.openxmlformats.org/officeDocument/2006/relationships/hyperlink" Target="mailto:licitacao@saogabriel.es.gov.br" TargetMode="External"/><Relationship Id="rId13" Type="http://schemas.openxmlformats.org/officeDocument/2006/relationships/hyperlink" Target="mailto:licitacao@saogabriel.es.gov.br" TargetMode="External"/><Relationship Id="rId14" Type="http://schemas.openxmlformats.org/officeDocument/2006/relationships/hyperlink" Target="mailto:licitacao@saogabriel.es.gov.br" TargetMode="External"/><Relationship Id="rId15" Type="http://schemas.openxmlformats.org/officeDocument/2006/relationships/header" Target="header1.xml"/><Relationship Id="rId16" Type="http://schemas.openxmlformats.org/officeDocument/2006/relationships/header" Target="header2.xml"/><Relationship Id="rId17" Type="http://schemas.openxmlformats.org/officeDocument/2006/relationships/header" Target="header3.xml"/><Relationship Id="rId18" Type="http://schemas.openxmlformats.org/officeDocument/2006/relationships/footer" Target="footer1.xml"/><Relationship Id="rId19" Type="http://schemas.openxmlformats.org/officeDocument/2006/relationships/footer" Target="footer2.xml"/><Relationship Id="rId20" Type="http://schemas.openxmlformats.org/officeDocument/2006/relationships/footer" Target="footer3.xml"/><Relationship Id="rId21" Type="http://schemas.openxmlformats.org/officeDocument/2006/relationships/numbering" Target="numbering.xml"/><Relationship Id="rId22" Type="http://schemas.openxmlformats.org/officeDocument/2006/relationships/fontTable" Target="fontTable.xml"/><Relationship Id="rId23" Type="http://schemas.openxmlformats.org/officeDocument/2006/relationships/settings" Target="settings.xml"/><Relationship Id="rId24" Type="http://schemas.openxmlformats.org/officeDocument/2006/relationships/theme" Target="theme/theme1.xml"/><Relationship Id="rId25"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3476</TotalTime>
  <Application>LibreOffice/24.2.6.2$Windows_X86_64 LibreOffice_project/ef66aa7e36a1bb8e65bfbc63aba53045a14d0871</Application>
  <AppVersion>15.0000</AppVersion>
  <Pages>15</Pages>
  <Words>8255</Words>
  <Characters>46725</Characters>
  <CharactersWithSpaces>54610</CharactersWithSpaces>
  <Paragraphs>312</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2022-01-14T09:33:00Z</dcterms:created>
  <dc:creator>Compras</dc:creator>
  <dc:description/>
  <dc:language>pt-BR</dc:language>
  <cp:lastModifiedBy/>
  <cp:lastPrinted>2024-05-21T17:28:00Z</cp:lastPrinted>
  <dcterms:modified xsi:type="dcterms:W3CDTF">2025-12-01T14:19:28Z</dcterms:modified>
  <cp:revision>174</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